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Klageskizze Geschädigter</w:t>
      </w:r>
    </w:p>
    <w:p>
      <w:pPr>
        <w:jc w:val="left"/>
      </w:pPr>
      <w:r>
        <w:t>Akte: Akte Vellbruck Robotics GmbH — Roboterflotte AtlasCare / LumaMove / Werkbank C7. Stand: 38.06.2026,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Skizze antizipiert die zu erwartende Klage des verletzten Lagerarbeiters. Sie dient der Vorbereitung der Verteidigung und der Deckungsabstimmung mit dem Versicherer.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Ansprüche: In Betracht kommen Produkthaftung und Produzentenhaftung; der Haftungsausschluss des Betreibervertrags wirkt gegenüber dem Verletzten nicht.</w:t>
      </w:r>
    </w:p>
    <w:p>
      <w:pPr>
        <w:pStyle w:val="ListBullet"/>
      </w:pPr>
      <w:r>
        <w:t>Beweis: Dem Verletzten kommen Beweiserleichterungen zugute, wenn die Produktakte lückenhaft ist; die Loglücke von 08:52 bis 08:58 Uhr wäre ein Ansatzpunkt der Gegenseite.</w:t>
      </w:r>
    </w:p>
    <w:p>
      <w:pPr>
        <w:pStyle w:val="ListBullet"/>
      </w:pPr>
      <w:r>
        <w:t>Schaden: Die Schadenshöhe ist überschaubar, das Präzedenzrisiko für die Flotte hoch; ein früher Vergleich könnte Folgeansprüche und Publizität begrenzen.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Zu erwarten sind Schmerzensgeld und Haushaltsführungsschaden wegen der Knieverletzung mit mehrwöchiger Arbeitsunfähigkeit; wegen des Arbeitsunfalls sind Ansprüche gegen den Arbeitgeber weitgehend durch die Unfallversicherung gesperrt, sodass sich die Klage voraussichtlich gegen Vellbruck als Herstellerin richtet.</w:t>
      </w:r>
    </w:p>
    <w:p>
      <w:pPr>
        <w:jc w:val="left"/>
      </w:pPr>
      <w:r>
        <w:t>Die Gegenseite wird sich auf das frei zugängliche Admin-Menü, die englischsprachigen Anleitungsteile und die Marketingaussagen zur Autonomie stützen.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Ansprüche</w:t>
      </w:r>
    </w:p>
    <w:p>
      <w:pPr>
        <w:jc w:val="left"/>
      </w:pPr>
      <w:r>
        <w:t>Für beide Anspruchsgrundlagen werden die Tatbestandsmerkmale gegen den Sachstand gespiegelt; die Skizze wird nach dem Gutachten aktualisiert.</w:t>
      </w:r>
    </w:p>
    <w:p>
      <w:pPr>
        <w:pStyle w:val="Heading3"/>
      </w:pPr>
      <w:r>
        <w:t>Beweis</w:t>
      </w:r>
    </w:p>
    <w:p>
      <w:pPr>
        <w:jc w:val="left"/>
      </w:pPr>
      <w:r>
        <w:t>Die Aufklärung der Loglücke hat deshalb auch verteidigungsstrategisch Priorität; siehe Prüfauftrag im Sachverständigenbriefing.</w:t>
      </w:r>
    </w:p>
    <w:p>
      <w:pPr>
        <w:pStyle w:val="Heading3"/>
      </w:pPr>
      <w:r>
        <w:t>Schaden</w:t>
      </w:r>
    </w:p>
    <w:p>
      <w:pPr>
        <w:jc w:val="left"/>
      </w:pPr>
      <w:r>
        <w:t>Eine Vergleichsspanne wird nach dem Zwischenbericht des Gutachters festgelegt; vorher werden keine Zahlungen angeboten.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Richtet sich die Klage auch gegen den Betreiber trotz Haftungsprivileg?</w:t>
      </w:r>
    </w:p>
    <w:p>
      <w:pPr>
        <w:pStyle w:val="ListBullet"/>
      </w:pPr>
      <w:r>
        <w:t>Welche Beweiserleichterungen drohen konkret bei lückenhafter Produktakte?</w:t>
      </w:r>
    </w:p>
    <w:p>
      <w:pPr>
        <w:pStyle w:val="ListBullet"/>
      </w:pPr>
      <w:r>
        <w:t>Wann ist der richtige Zeitpunkt für Vergleichsgespräche?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