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Regress gegen Lieferkette</w:t>
      </w:r>
    </w:p>
    <w:p>
      <w:pPr>
        <w:jc w:val="left"/>
      </w:pPr>
      <w:r>
        <w:t>Akte: Akte Vellbruck Robotics GmbH — Roboterflotte AtlasCare / LumaMove / Werkbank C7. Stand: 40.06.2026,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Vermerk bereitet die Regressansprüche in der Lieferkette vor: gegen den Sensorlieferanten OptiSense, den Wartungspartner Schärlein Automation und den Cloud-Modelllieferanten.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Sensor: Ein Sensorfehler ist bislang Hypothese; die Loglücke und die fehlende Kalibrierung erschweren den Nachweis in beide Richtungen.</w:t>
      </w:r>
    </w:p>
    <w:p>
      <w:pPr>
        <w:pStyle w:val="ListBullet"/>
      </w:pPr>
      <w:r>
        <w:t>Cloud: Der Modelllieferant haftet nach seinem Vertrag nur für grobe Fahrlässigkeit; ein Zusammenhang zwischen Modellverhalten und Kollision ist derzeit nicht ersichtlich.</w:t>
      </w:r>
    </w:p>
    <w:p>
      <w:pPr>
        <w:pStyle w:val="ListBullet"/>
      </w:pPr>
      <w:r>
        <w:t>Wartung: Die Pflichtverletzungen von Schärlein sind dokumentiert; streitig wird die Kausalität für den Unfall sein.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Gegen Schärlein sprechen die ausgefallenen Wartungen, die fehlende Q2-Kalibrierung und die nicht zugeordneten Remotesitzungen; gegen OptiSense käme ein Regress nur bei nachgewiesenem Sensorfehler in Betracht.</w:t>
      </w:r>
    </w:p>
    <w:p>
      <w:pPr>
        <w:jc w:val="left"/>
      </w:pPr>
      <w:r>
        <w:t>Die Verjährung der vertraglichen Ansprüche gegen Schärlein aus Q1 2026 ist im Fristenkalender notiert; Hemmungsmaßnahmen sind noch nicht ergriffen.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Sensor</w:t>
      </w:r>
    </w:p>
    <w:p>
      <w:pPr>
        <w:jc w:val="left"/>
      </w:pPr>
      <w:r>
        <w:t>Der Regress gegen OptiSense wird zurückgestellt, bis der Gutachter Szenario 3 (Sensor-/Fusionsfehler) bewertet hat; die Kalibrierzertifikate werden vorsorglich angefordert.</w:t>
      </w:r>
    </w:p>
    <w:p>
      <w:pPr>
        <w:pStyle w:val="Heading3"/>
      </w:pPr>
      <w:r>
        <w:t>Cloud</w:t>
      </w:r>
    </w:p>
    <w:p>
      <w:pPr>
        <w:jc w:val="left"/>
      </w:pPr>
      <w:r>
        <w:t>Der Vertrag wird gleichwohl auf Zusicherungen zur Versionierung geprüft, weil die Modellversion vom 27.05.2026 dokumentiert werden muss.</w:t>
      </w:r>
    </w:p>
    <w:p>
      <w:pPr>
        <w:pStyle w:val="Heading3"/>
      </w:pPr>
      <w:r>
        <w:t>Wartung</w:t>
      </w:r>
    </w:p>
    <w:p>
      <w:pPr>
        <w:jc w:val="left"/>
      </w:pPr>
      <w:r>
        <w:t>Gegen Schärlein wird zunächst nur verjährungshemmend vorgegangen (Anspruchsanmeldung mit Verhandlungsangebot), um den Wartungspartner im laufenden Betrieb nicht zu verlieren.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Bis wann verjähren die Ansprüche gegen Schärlein genau?</w:t>
      </w:r>
    </w:p>
    <w:p>
      <w:pPr>
        <w:pStyle w:val="ListBullet"/>
      </w:pPr>
      <w:r>
        <w:t>Ergibt das Gutachten Anhaltspunkte für einen Sensorfehler?</w:t>
      </w:r>
    </w:p>
    <w:p>
      <w:pPr>
        <w:pStyle w:val="ListBullet"/>
      </w:pPr>
      <w:r>
        <w:t>Welche Modellversion lief am 27.05.2026 auf LM-104?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