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Security-by-Design-Sprint</w:t>
      </w:r>
    </w:p>
    <w:p>
      <w:pPr>
        <w:jc w:val="left"/>
      </w:pPr>
      <w:r>
        <w:t>Akte: Akte Vellbruck Robotics GmbH — Roboterflotte AtlasCare / LumaMove / Werkbank C7. Stand: 48.06.2026,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Sprintplan härtet die Update- und Kommunikationswege der Produkte nach dem Befund VR-884. Er verbindet Threat Model, SBOM-Pflege und Patch-Prozess zu einem prüfbaren Sicherheitsprozess.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Threat Model: Das Modell wird auf den Ist-Zustand gehoben: Angreifermodelle für Updatekanal, Fernwartung und physische Bedienschnittstellen einschließlich Betreiber-Missbrauch.</w:t>
      </w:r>
    </w:p>
    <w:p>
      <w:pPr>
        <w:pStyle w:val="ListBullet"/>
      </w:pPr>
      <w:r>
        <w:t>SBOM: Die SBOM wird release-gebunden erzeugt und mit Schwachstellen-Feeds abgeglichen; Alarme laufen an ein definiertes Response-Team.</w:t>
      </w:r>
    </w:p>
    <w:p>
      <w:pPr>
        <w:pStyle w:val="ListBullet"/>
      </w:pPr>
      <w:r>
        <w:t>Patch: Der Patch-Prozess erhält eine Notfallspur für aktiv ausgenutzte Schwachstellen mit verkürzter, aber dokumentierter Prüfung.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Das bisherige Threat Model stammt aus der Entwicklungsphase 2024 und kennt weder den Legacy-Updatekanal noch die Ferndiagnose; die SBOM ist unvollständig (Aktenstück 24).</w:t>
      </w:r>
    </w:p>
    <w:p>
      <w:pPr>
        <w:jc w:val="left"/>
      </w:pPr>
      <w:r>
        <w:t>Der Sprint adressiert die drei kritischen Pfade: Updatekanal, Fernwartungszugänge, Admin-Menü.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Threat Model</w:t>
      </w:r>
    </w:p>
    <w:p>
      <w:pPr>
        <w:jc w:val="left"/>
      </w:pPr>
      <w:r>
        <w:t>Die Ergebnisse werden gegen die Events vom 27.05.2026 validiert: Jedes reale Event muss im Modell einen Pfad haben, sonst ist das Modell unvollständig.</w:t>
      </w:r>
    </w:p>
    <w:p>
      <w:pPr>
        <w:pStyle w:val="Heading3"/>
      </w:pPr>
      <w:r>
        <w:t>SBOM</w:t>
      </w:r>
    </w:p>
    <w:p>
      <w:pPr>
        <w:jc w:val="left"/>
      </w:pPr>
      <w:r>
        <w:t>Das Response-Team (Technik, QM, Recht) erhält Meldefristen-Vorlagen, damit Bewertung und etwaige Behördenmeldung ohne Anlaufzeit starten.</w:t>
      </w:r>
    </w:p>
    <w:p>
      <w:pPr>
        <w:pStyle w:val="Heading3"/>
      </w:pPr>
      <w:r>
        <w:t>Patch</w:t>
      </w:r>
    </w:p>
    <w:p>
      <w:pPr>
        <w:jc w:val="left"/>
      </w:pPr>
      <w:r>
        <w:t>Die Notfallspur wird mit der SLA-Zusage aus dem Betreibervertrag harmonisiert; ihre erste Anwendung wird als Übung am Fall VR-884 dokumentiert.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Deckt das neue Threat Model alle Events des 27.05.2026 ab?</w:t>
      </w:r>
    </w:p>
    <w:p>
      <w:pPr>
        <w:pStyle w:val="ListBullet"/>
      </w:pPr>
      <w:r>
        <w:t>Wer gehört verbindlich zum Response-Team?</w:t>
      </w:r>
    </w:p>
    <w:p>
      <w:pPr>
        <w:pStyle w:val="ListBullet"/>
      </w:pPr>
      <w:r>
        <w:t>Wie schnell kann die Notfallspur tatsächlich ausliefern?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