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Barrierefreiheit und Interface</w:t>
      </w:r>
    </w:p>
    <w:p>
      <w:pPr>
        <w:jc w:val="left"/>
      </w:pPr>
      <w:r>
        <w:t>Akte: Akte Vellbruck Robotics GmbH — Roboterflotte AtlasCare / LumaMove / Werkbank C7. Stand: 49.06.2026,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prüft die Barrierefreiheit der Bedienoberflächen von AtlasCare und der Leitstandsoftware. Er verbindet Produktanforderungen mit den Pflichten aus dem Klinik- und Behördenumfeld.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Nutzerführung: Für Patienten werden Sprachausgabe, Piktogramme und ein kontrastreicher Modus kombiniert; sicherheitsrelevante Meldungen erfolgen immer zweikanalig (optisch und akustisch).</w:t>
      </w:r>
    </w:p>
    <w:p>
      <w:pPr>
        <w:pStyle w:val="ListBullet"/>
      </w:pPr>
      <w:r>
        <w:t>Inklusion: Für den kommunalen Rollout werden Barrierefreiheitsanforderungen voraussichtlich Zuschlagskriterium; der heutige Stand wäre ein Wettbewerbsnachteil.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AtlasCare-Patientenschnittstelle arbeitet mit Sprachausgabe und Touchfeldern; ein Modus für seh- und hörbeeinträchtigte Personen fehlt, ebenso die Patienteninformation in Leichter Sprache (Aktenstück 33).</w:t>
      </w:r>
    </w:p>
    <w:p>
      <w:pPr>
        <w:jc w:val="left"/>
      </w:pPr>
      <w:r>
        <w:t>Die Leitstandsoftware ist auf Desktopbetrieb ausgelegt; Kontrast und Tastaturbedienung genügen den einschlägigen Anforderungen an Softwarearbeitsplätze nicht durchgängig.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Nutzerführung</w:t>
      </w:r>
    </w:p>
    <w:p>
      <w:pPr>
        <w:jc w:val="left"/>
      </w:pPr>
      <w:r>
        <w:t>Die Zweikanaligkeit wird als Produktanforderung festgeschrieben und getestet; der Test wird in die Klinik-Abnahme aufgenommen.</w:t>
      </w:r>
    </w:p>
    <w:p>
      <w:pPr>
        <w:pStyle w:val="Heading3"/>
      </w:pPr>
      <w:r>
        <w:t>Inklusion</w:t>
      </w:r>
    </w:p>
    <w:p>
      <w:pPr>
        <w:jc w:val="left"/>
      </w:pPr>
      <w:r>
        <w:t>Die Lücken werden priorisiert geschlossen und die Konformität dokumentiert; die Dokumentation fließt in die Referenzunterlagen für die Vergabe (Aktenstück 34).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Barrierefreiheitsanforderungen stellen die Klinikträger konkret?</w:t>
      </w:r>
    </w:p>
    <w:p>
      <w:pPr>
        <w:pStyle w:val="ListBullet"/>
      </w:pPr>
      <w:r>
        <w:t>Bis wann ist der kontrastreiche Modus produktiv?</w:t>
      </w:r>
    </w:p>
    <w:p>
      <w:pPr>
        <w:pStyle w:val="ListBullet"/>
      </w:pPr>
      <w:r>
        <w:t>Wie werden hörbeeinträchtigte Beschäftigte im Leitstand alarmiert?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