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Krisenstab Chat-Transkript</w:t>
      </w:r>
    </w:p>
    <w:p>
      <w:pPr>
        <w:jc w:val="left"/>
      </w:pPr>
      <w:r>
        <w:t>Akte: Akte Vellbruck Robotics GmbH — Roboterflotte AtlasCare / LumaMove / Werkbank C7. Stand: 51.06.2026,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Dieses Transkript sichert den WhatsApp-Verlauf des Krisenstabs vom 30.05. bis 02.06.2026 als Beweismittel. Es ordnet die Fragmente den handelnden Personen zu und markiert rechtlich heikle Aussagen.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Fragmente: Die Nachrichten sind teils Kürzel und Sprachnachrichten-Zusammenfassungen; ohne Kontext sind sie leicht fehlzudeuten und für die Gegenseite ein Fundort.</w:t>
      </w:r>
    </w:p>
    <w:p>
      <w:pPr>
        <w:pStyle w:val="ListBullet"/>
      </w:pPr>
      <w:r>
        <w:t>Druck: Der Verlauf dokumentiert den Entscheidungsdruck vor dem Vorstandstermin; er erklärt, warum Sofortmaßnahmen vor vollständiger Aufklärung liefen.</w:t>
      </w:r>
    </w:p>
    <w:p>
      <w:pPr>
        <w:pStyle w:val="ListBullet"/>
      </w:pPr>
      <w:r>
        <w:t>Entscheidungen: Im Chat getroffene Festlegungen (Sperrung Admin-Menü, Sicherung der Logs) sind förmlich nicht dokumentiert.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Der Verlauf umfasst 47 Nachrichten zwischen CEO Adelheid Vellbruck, CTO Bertram Kiendl, QM-Leiter Jasper Rodenwald und Support; das Foto des Verlaufs liegt als Bilddatei in der Akte.</w:t>
      </w:r>
    </w:p>
    <w:p>
      <w:pPr>
        <w:jc w:val="left"/>
      </w:pPr>
      <w:r>
        <w:t>Heikel sind zwei Nachrichten: Kiendls Vorschlag, den Legacy-Kanal still zu schließen, bevor jemand fragt, und eine Supportnachricht, die die Schutzfeldänderung dem Kunden mündlich schon zugeschrieben hatte.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Fragmente</w:t>
      </w:r>
    </w:p>
    <w:p>
      <w:pPr>
        <w:jc w:val="left"/>
      </w:pPr>
      <w:r>
        <w:t>Jede Nachricht erhält im Transkript Absender, Zeitstempel und eine neutrale Kontextzeile; die Originalbilder bleiben unverändert und werden gehasht.</w:t>
      </w:r>
    </w:p>
    <w:p>
      <w:pPr>
        <w:pStyle w:val="Heading3"/>
      </w:pPr>
      <w:r>
        <w:t>Druck</w:t>
      </w:r>
    </w:p>
    <w:p>
      <w:pPr>
        <w:jc w:val="left"/>
      </w:pPr>
      <w:r>
        <w:t>Diese Entlastungswirkung wird gesichert, indem der Verlauf vollständig und nicht selektiv archiviert wird; Teilvorlagen wären angreifbar.</w:t>
      </w:r>
    </w:p>
    <w:p>
      <w:pPr>
        <w:pStyle w:val="Heading3"/>
      </w:pPr>
      <w:r>
        <w:t>Entscheidungen</w:t>
      </w:r>
    </w:p>
    <w:p>
      <w:pPr>
        <w:jc w:val="left"/>
      </w:pPr>
      <w:r>
        <w:t>Alle im Chat getroffenen Entscheidungen werden im Maßnahmenprotokoll mit Datum nachdokumentiert; künftig gilt: Entscheidungen nur über das Protokoll, der Chat dient der Abstimmung.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Sind alle 47 Nachrichten vollständig gesichert und gehasht?</w:t>
      </w:r>
    </w:p>
    <w:p>
      <w:pPr>
        <w:pStyle w:val="ListBullet"/>
      </w:pPr>
      <w:r>
        <w:t>Wie wird mit Kiendls Legacy-Nachricht in der Offenlegung umgegangen?</w:t>
      </w:r>
    </w:p>
    <w:p>
      <w:pPr>
        <w:pStyle w:val="ListBullet"/>
      </w:pPr>
      <w:r>
        <w:t>Welche mündlichen Zusagen hat der Support dem Kunden gemacht?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