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Rechtliche Arbeitsnotiz</w:t>
      </w:r>
    </w:p>
    <w:p>
      <w:r>
        <w:rPr>
          <w:i/>
          <w:sz w:val="20"/>
        </w:rPr>
        <w:t>Landgericht Magdeburg, Schwurgerichtskammer 1 | Staatsanwaltschaft Magdeburg, 1 Js 5582/26</w:t>
      </w:r>
    </w:p>
    <w:p>
      <w:pPr>
        <w:pStyle w:val="Heading2"/>
      </w:pPr>
      <w:r>
        <w:t>Rechtlicher Einstieg</w:t>
      </w:r>
    </w:p>
    <w:p>
      <w:pPr>
        <w:spacing w:after="120" w:line="259" w:lineRule="auto"/>
      </w:pPr>
      <w:r>
        <w:t>Die Prüfung beginnt bei der Verteidigung des Beschuldigten Brandner im Ermittlungsverfahren wegen Brandstiftung und dem Arbeitsprodukt: Auseinandersetzung mit den beiden Brandursachengutachten und Entscheidung über einen eigenen Sachverständigenantrag.</w:t>
      </w:r>
    </w:p>
    <w:p>
      <w:pPr>
        <w:spacing w:after="120" w:line="259" w:lineRule="auto"/>
      </w:pPr>
      <w:r>
        <w:t>Zu trennen sind objektive Brandursache, Täterschaftsnachweis und subjektiver Tatbestand; die Einlassung Brandners vom 28.05.2026 ist gegen das Ereignisprotokoll und die Zeiterfassung zu halten, bevor eine Verteidigungslinie festgelegt wird.</w:t>
      </w:r>
    </w:p>
    <w:p>
      <w:pPr>
        <w:pStyle w:val="ListBullet"/>
      </w:pPr>
      <w:r>
        <w:t>Normanker: Paragraf 306 StGB, Paragraf 306a StGB, Paragraf 263 StGB, Paragraf 112 StPO, Paragraf 244 StPO.</w:t>
      </w:r>
    </w:p>
    <w:p>
      <w:pPr>
        <w:pStyle w:val="Heading2"/>
      </w:pPr>
      <w:r>
        <w:t>Arbeitsmatrix</w:t>
      </w:r>
    </w:p>
    <w:p>
      <w:pPr>
        <w:pStyle w:val="ListBullet"/>
      </w:pPr>
      <w:r>
        <w:t>Tatbestandsmerkmal: Welche konkrete Tatsache trägt es?</w:t>
      </w:r>
    </w:p>
    <w:p>
      <w:pPr>
        <w:pStyle w:val="ListBullet"/>
      </w:pPr>
      <w:r>
        <w:t>Beweismittel: Ist es original, vollständig, verwertbar und in sich konstant?</w:t>
      </w:r>
    </w:p>
    <w:p>
      <w:pPr>
        <w:pStyle w:val="ListBullet"/>
      </w:pPr>
      <w:r>
        <w:t>Gegenposition: Welches alternative Geschehen ist aktenkundig und nicht nur spekulativ?</w:t>
      </w:r>
    </w:p>
    <w:p>
      <w:pPr>
        <w:pStyle w:val="ListBullet"/>
      </w:pPr>
      <w:r>
        <w:t>Risiko: Welche Nebenfolge droht unabhängig vom Ausgang der Hauptsache?</w:t>
      </w:r>
    </w:p>
    <w:p>
      <w:pPr>
        <w:pStyle w:val="ListBullet"/>
      </w:pPr>
      <w:r>
        <w:t>Output: konkreter Antrag oder konkreter Entwurf, keine bloße Rechtsmeinung.</w:t>
      </w:r>
    </w:p>
    <w:p>
      <w:pPr>
        <w:pStyle w:val="Heading2"/>
      </w:pPr>
      <w:r>
        <w:t>Nächster Schritt</w:t>
      </w:r>
    </w:p>
    <w:p>
      <w:pPr>
        <w:spacing w:after="120" w:line="259" w:lineRule="auto"/>
      </w:pPr>
      <w:r>
        <w:t>Haftbeschwerde mit Alternativursache vorbereiten, Rohdaten Videoanlage sichern, Versicherungsunterlagen vollständig anfordern und Gutachterfragen zu Tor 3 formulieren.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Magdeburg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Magdeburg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Schwurgerichtskammer 1 | Staatsanwaltschaft Magdeburg, 1 Js 5582/26 · 1 Js 5582/26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