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Rechtliche Arbeitsnotiz</w:t>
      </w:r>
    </w:p>
    <w:p>
      <w:r>
        <w:rPr>
          <w:i/>
          <w:sz w:val="20"/>
        </w:rPr>
        <w:t>Landgericht Köln, große Strafkammer 19 | Staatsanwaltschaft Köln, 19 Js 774/26</w:t>
      </w:r>
    </w:p>
    <w:p>
      <w:pPr>
        <w:pStyle w:val="Heading2"/>
      </w:pPr>
      <w:r>
        <w:t>Rechtlicher Einstieg</w:t>
      </w:r>
    </w:p>
    <w:p>
      <w:pPr>
        <w:spacing w:after="120" w:line="259" w:lineRule="auto"/>
      </w:pPr>
      <w:r>
        <w:t>Die Prüfung beginnt bei der Verteidigung des als Kurier Beschuldigten und dem Arbeitsprodukt: Verwertungswiderspruch zur ersten Vernehmung, Stellungnahme zur Einfuhrmenge und Vorbereitung der Haftfrage.</w:t>
      </w:r>
    </w:p>
    <w:p>
      <w:pPr>
        <w:spacing w:after="120" w:line="259" w:lineRule="auto"/>
      </w:pPr>
      <w:r>
        <w:t>Getrennt zu prüfen sind Besitz und Einfuhr, Bandenabrede und subjektiver Tatbestand; die Aussage der Zeugin Ferreira vom 24.06.2026 trägt die Kurierrolle nur, wenn die Funkzellendaten die behauptete Übergabe zeitlich stützen.</w:t>
      </w:r>
    </w:p>
    <w:p>
      <w:pPr>
        <w:pStyle w:val="ListBullet"/>
      </w:pPr>
      <w:r>
        <w:t>Normanker: Paragraf 29a BtMG, Paragraf 30 BtMG, Paragraf 102 StPO, Paragraf 112 StPO, Paragraf 136 StPO.</w:t>
      </w:r>
    </w:p>
    <w:p>
      <w:pPr>
        <w:pStyle w:val="Heading2"/>
      </w:pPr>
      <w:r>
        <w:t>Arbeitsmatrix</w:t>
      </w:r>
    </w:p>
    <w:p>
      <w:pPr>
        <w:pStyle w:val="ListBullet"/>
      </w:pPr>
      <w:r>
        <w:t>Tatbestandsmerkmal: Welche konkrete Tatsache trägt es?</w:t>
      </w:r>
    </w:p>
    <w:p>
      <w:pPr>
        <w:pStyle w:val="ListBullet"/>
      </w:pPr>
      <w:r>
        <w:t>Beweismittel: Ist es original, vollständig, verwertbar und in sich konstant?</w:t>
      </w:r>
    </w:p>
    <w:p>
      <w:pPr>
        <w:pStyle w:val="ListBullet"/>
      </w:pPr>
      <w:r>
        <w:t>Gegenposition: Welches alternative Geschehen ist aktenkundig und nicht nur spekulativ?</w:t>
      </w:r>
    </w:p>
    <w:p>
      <w:pPr>
        <w:pStyle w:val="ListBullet"/>
      </w:pPr>
      <w:r>
        <w:t>Risiko: Welche Nebenfolge droht unabhängig vom Ausgang der Hauptsache?</w:t>
      </w:r>
    </w:p>
    <w:p>
      <w:pPr>
        <w:pStyle w:val="ListBullet"/>
      </w:pPr>
      <w:r>
        <w:t>Output: konkreter Antrag oder konkreter Entwurf, keine bloße Rechtsmeinung.</w:t>
      </w:r>
    </w:p>
    <w:p>
      <w:pPr>
        <w:pStyle w:val="Heading2"/>
      </w:pPr>
      <w:r>
        <w:t>Nächster Schritt</w:t>
      </w:r>
    </w:p>
    <w:p>
      <w:pPr>
        <w:spacing w:after="120" w:line="259" w:lineRule="auto"/>
      </w:pPr>
      <w:r>
        <w:t>Haftprüfung vorbereiten, Dolmetscher- und Belehrungsvermerk anfordern, Rohdaten der Handyforensik sichern und Zusatzfahrer über Vermieter identifizieren.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Köln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Köln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große Strafkammer 19 | Staatsanwaltschaft Köln, 19 Js 774/26 · 19 Js 774/26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