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Leipzig, Schöffengericht Abteilung 212 | Staatsanwaltschaft Leipzig, 212 Js 6180/26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Verteidigung des Beschuldigten Peukert und dem Arbeitsprodukt: Stellungnahme zur Zurechnung der Logins und Vorbereitung eines Beweisantrags zur Geräteauswertung.</w:t>
      </w:r>
    </w:p>
    <w:p>
      <w:pPr>
        <w:spacing w:after="120" w:line="259" w:lineRule="auto"/>
      </w:pPr>
      <w:r>
        <w:t>Zu trennen sind Datenveränderung und Computerbetrug je Transaktion sowie die Frage, wer die TAN-Freigaben ausgelöst hat; die Einlassung vom 19.06.2026, das Konto sei von Dritten genutzt worden, ist gegen Geräte- und Standortdaten zu stellen.</w:t>
      </w:r>
    </w:p>
    <w:p>
      <w:pPr>
        <w:pStyle w:val="ListBullet"/>
      </w:pPr>
      <w:r>
        <w:t>Normanker: Paragraf 263a StGB, Paragraf 261 StGB, Paragraf 73 StGB, Paragraf 100g StPO, Paragraf 110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Rohdaten der Banklogs mit Zeitzonen sichern, ATM-Bildqualität prüfen, Einziehungsrisiko berechnen und Stellungnahme zur Kontoleihe vorbereiten.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Leipzig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Leipzig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Schöffengericht Abteilung 212 | Staatsanwaltschaft Leipzig, 212 Js 6180/26 · 212 Js 6180/26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