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Amtsgericht Hamburg, Jugendrichterin Abteilung 611 | Staatsanwaltschaft Hamburg, Jugenddezernat 144 Js 2231/26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Hamburg, Jugenddezernat 144 Js 2231/26 führt die Sache derzeit mit Schwerpunkt auf: Raubvorwurf nach Paragraf 249 StGB; gefährliche Drohung mit Cutter als Strafzumessungskern; Prüfung Jugendstrafrecht und Erziehungsbedarf.</w:t>
      </w:r>
    </w:p>
    <w:p>
      <w:pPr>
        <w:spacing w:after="120" w:line="259" w:lineRule="auto"/>
      </w:pPr>
      <w:r>
        <w:t>Belastend sind die Aussage der Zeugin Yilmaz vom 16.06.2026, das Ortungsprotokoll des Samsung A54 und die Chatauswertung der Klassengruppe vom 14.05.2026; für den Chatverlauf fehlen Absenderzuordnung je Nachricht und der Sicherungsvermerk des auswertenden Beamten.</w:t>
      </w:r>
    </w:p>
    <w:p>
      <w:pPr>
        <w:spacing w:after="120" w:line="259" w:lineRule="auto"/>
      </w:pPr>
      <w:r>
        <w:t>Gerichtsfest wird die Auswertung erst mit Blattstellen je Nachricht, Klarstellung der Gerätezuordnung und Beweisrichtung (Tatplanung, Beuteteilung oder bloßes Mitlesen); das Ortungsprotokoll ist gegen den Stundenplan zu halten.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Handyortung</w:t>
            </w:r>
          </w:p>
        </w:tc>
        <w:tc>
          <w:tcPr>
            <w:tcW w:type="dxa" w:w="2493"/>
            <w:vAlign w:val="top"/>
          </w:tcPr>
          <w:p>
            <w:r>
              <w:t>iCloud-Ortung 12.05.2026 16:18 Uhr</w:t>
            </w:r>
          </w:p>
        </w:tc>
        <w:tc>
          <w:tcPr>
            <w:tcW w:type="dxa" w:w="2493"/>
            <w:vAlign w:val="top"/>
          </w:tcPr>
          <w:p>
            <w:r>
              <w:t>belastet Besitz des Handys</w:t>
            </w:r>
          </w:p>
        </w:tc>
        <w:tc>
          <w:tcPr>
            <w:tcW w:type="dxa" w:w="2493"/>
            <w:vAlign w:val="top"/>
          </w:tcPr>
          <w:p>
            <w:r>
              <w:t>sagt nichts zur Drohung</w:t>
            </w:r>
          </w:p>
        </w:tc>
      </w:tr>
      <w:tr>
        <w:tc>
          <w:tcPr>
            <w:tcW w:type="dxa" w:w="2493"/>
            <w:vAlign w:val="top"/>
          </w:tcPr>
          <w:p>
            <w:r>
              <w:t>Schulvideo</w:t>
            </w:r>
          </w:p>
        </w:tc>
        <w:tc>
          <w:tcPr>
            <w:tcW w:type="dxa" w:w="2493"/>
            <w:vAlign w:val="top"/>
          </w:tcPr>
          <w:p>
            <w:r>
              <w:t>Kamera Flur Süd, kein Ton, 18 Sekunden</w:t>
            </w:r>
          </w:p>
        </w:tc>
        <w:tc>
          <w:tcPr>
            <w:tcW w:type="dxa" w:w="2493"/>
            <w:vAlign w:val="top"/>
          </w:tcPr>
          <w:p>
            <w:r>
              <w:t>zeigt Weglaufen</w:t>
            </w:r>
          </w:p>
        </w:tc>
        <w:tc>
          <w:tcPr>
            <w:tcW w:type="dxa" w:w="2493"/>
            <w:vAlign w:val="top"/>
          </w:tcPr>
          <w:p>
            <w:r>
              <w:t>zeigt keinen Cutter</w:t>
            </w:r>
          </w:p>
        </w:tc>
      </w:tr>
      <w:tr>
        <w:tc>
          <w:tcPr>
            <w:tcW w:type="dxa" w:w="2493"/>
            <w:vAlign w:val="top"/>
          </w:tcPr>
          <w:p>
            <w:r>
              <w:t>Zeuge Finn Jansen</w:t>
            </w:r>
          </w:p>
        </w:tc>
        <w:tc>
          <w:tcPr>
            <w:tcW w:type="dxa" w:w="2493"/>
            <w:vAlign w:val="top"/>
          </w:tcPr>
          <w:p>
            <w:r>
              <w:t>Geschädigter</w:t>
            </w:r>
          </w:p>
        </w:tc>
        <w:tc>
          <w:tcPr>
            <w:tcW w:type="dxa" w:w="2493"/>
            <w:vAlign w:val="top"/>
          </w:tcPr>
          <w:p>
            <w:r>
              <w:t>klare Drohungsschilderung</w:t>
            </w:r>
          </w:p>
        </w:tc>
        <w:tc>
          <w:tcPr>
            <w:tcW w:type="dxa" w:w="2493"/>
            <w:vAlign w:val="top"/>
          </w:tcPr>
          <w:p>
            <w:r>
              <w:t>Widerspruch zur Entfernung und zum Blickwinkel</w:t>
            </w:r>
          </w:p>
        </w:tc>
      </w:tr>
      <w:tr>
        <w:tc>
          <w:tcPr>
            <w:tcW w:type="dxa" w:w="2493"/>
            <w:vAlign w:val="top"/>
          </w:tcPr>
          <w:p>
            <w:r>
              <w:t>Zeugin Noura Haddad</w:t>
            </w:r>
          </w:p>
        </w:tc>
        <w:tc>
          <w:tcPr>
            <w:tcW w:type="dxa" w:w="2493"/>
            <w:vAlign w:val="top"/>
          </w:tcPr>
          <w:p>
            <w:r>
              <w:t>Mitschülerin</w:t>
            </w:r>
          </w:p>
        </w:tc>
        <w:tc>
          <w:tcPr>
            <w:tcW w:type="dxa" w:w="2493"/>
            <w:vAlign w:val="top"/>
          </w:tcPr>
          <w:p>
            <w:r>
              <w:t>bestätigt Streit</w:t>
            </w:r>
          </w:p>
        </w:tc>
        <w:tc>
          <w:tcPr>
            <w:tcW w:type="dxa" w:w="2493"/>
            <w:vAlign w:val="top"/>
          </w:tcPr>
          <w:p>
            <w:r>
              <w:t>hat nur Schlüsselbund gesehen</w:t>
            </w:r>
          </w:p>
        </w:tc>
      </w:tr>
      <w:tr>
        <w:tc>
          <w:tcPr>
            <w:tcW w:type="dxa" w:w="2493"/>
            <w:vAlign w:val="top"/>
          </w:tcPr>
          <w:p>
            <w:r>
              <w:t>Jugendgerichtshilfe</w:t>
            </w:r>
          </w:p>
        </w:tc>
        <w:tc>
          <w:tcPr>
            <w:tcW w:type="dxa" w:w="2493"/>
            <w:vAlign w:val="top"/>
          </w:tcPr>
          <w:p>
            <w:r>
              <w:t>Hausbesuchsvermerk</w:t>
            </w:r>
          </w:p>
        </w:tc>
        <w:tc>
          <w:tcPr>
            <w:tcW w:type="dxa" w:w="2493"/>
            <w:vAlign w:val="top"/>
          </w:tcPr>
          <w:p>
            <w:r>
              <w:t>Schulversäumnisse</w:t>
            </w:r>
          </w:p>
        </w:tc>
        <w:tc>
          <w:tcPr>
            <w:tcW w:type="dxa" w:w="2493"/>
            <w:vAlign w:val="top"/>
          </w:tcPr>
          <w:p>
            <w:r>
              <w:t>Familiensupport und Trainingsbereitschaft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249 StGB</w:t>
      </w:r>
    </w:p>
    <w:p>
      <w:pPr>
        <w:pStyle w:val="ListBullet"/>
      </w:pPr>
      <w:r>
        <w:t>Paragraf 52 StGB</w:t>
      </w:r>
    </w:p>
    <w:p>
      <w:pPr>
        <w:pStyle w:val="ListBullet"/>
      </w:pPr>
      <w:r>
        <w:t>Paragraf 68 JGG</w:t>
      </w:r>
    </w:p>
    <w:p>
      <w:pPr>
        <w:pStyle w:val="ListBullet"/>
      </w:pPr>
      <w:r>
        <w:t>Paragraf 45 JGG</w:t>
      </w:r>
    </w:p>
    <w:p>
      <w:pPr>
        <w:pStyle w:val="ListBullet"/>
      </w:pPr>
      <w:r>
        <w:t>Paragraf 47 JGG</w:t>
      </w:r>
    </w:p>
    <w:p>
      <w:pPr>
        <w:pStyle w:val="ListBullet"/>
      </w:pPr>
      <w:r>
        <w:t>Paragraf 140 StPO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Jugendrichterin Abteilung 611 | Staatsanwaltschaft Hamburg, Jugenddezernat 144 Js 2231/26 · 144 Js 2231/26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