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Landgericht München I, Wirtschaftsstrafkammer 6 | Staatsanwaltschaft München I, 6 Js 9940/26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München I, 6 Js 9940/26 führt die Sache derzeit mit Schwerpunkt auf: Bestechlichkeit nach Paragraf 332 StGB; Vorteilsannahme nach Paragraf 331 StGB; Untreueprüfung wegen Vergabeschaden.</w:t>
      </w:r>
    </w:p>
    <w:p>
      <w:pPr>
        <w:spacing w:after="120" w:line="259" w:lineRule="auto"/>
      </w:pPr>
      <w:r>
        <w:t>Belastend sind der Vergabe-Vorteile-Abgleich, die Vergabeakte mit den Bewirtungsvorgängen und die E-Mail des Bieters zur Mittagessen-Rechnung; für die Angebotsbewertungen liegen nur Rohversionen ohne Änderungshistorie vor.</w:t>
      </w:r>
    </w:p>
    <w:p>
      <w:pPr>
        <w:spacing w:after="120" w:line="259" w:lineRule="auto"/>
      </w:pPr>
      <w:r>
        <w:t>Nachzutragen sind Blattstellen je Vergabevorgang, die Zuordnung jedes Vorteils zu einer konkreten Diensthandlung und die Beweisrichtung (Klimapflege oder Unrechtsvereinbarung); die Versionsgeschichte der Bewertungsmatrix ist anzufordern.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Vergabevermerk</w:t>
            </w:r>
          </w:p>
        </w:tc>
        <w:tc>
          <w:tcPr>
            <w:tcW w:type="dxa" w:w="2493"/>
            <w:vAlign w:val="top"/>
          </w:tcPr>
          <w:p>
            <w:r>
              <w:t>Bauhof 2025-17</w:t>
            </w:r>
          </w:p>
        </w:tc>
        <w:tc>
          <w:tcPr>
            <w:tcW w:type="dxa" w:w="2493"/>
            <w:vAlign w:val="top"/>
          </w:tcPr>
          <w:p>
            <w:r>
              <w:t>nachträgliche Änderung</w:t>
            </w:r>
          </w:p>
        </w:tc>
        <w:tc>
          <w:tcPr>
            <w:tcW w:type="dxa" w:w="2493"/>
            <w:vAlign w:val="top"/>
          </w:tcPr>
          <w:p>
            <w:r>
              <w:t>Änderung fachlich begründbar</w:t>
            </w:r>
          </w:p>
        </w:tc>
      </w:tr>
      <w:tr>
        <w:tc>
          <w:tcPr>
            <w:tcW w:type="dxa" w:w="2493"/>
            <w:vAlign w:val="top"/>
          </w:tcPr>
          <w:p>
            <w:r>
              <w:t>Kalendereinträge</w:t>
            </w:r>
          </w:p>
        </w:tc>
        <w:tc>
          <w:tcPr>
            <w:tcW w:type="dxa" w:w="2493"/>
            <w:vAlign w:val="top"/>
          </w:tcPr>
          <w:p>
            <w:r>
              <w:t>privater Kalender Eberl</w:t>
            </w:r>
          </w:p>
        </w:tc>
        <w:tc>
          <w:tcPr>
            <w:tcW w:type="dxa" w:w="2493"/>
            <w:vAlign w:val="top"/>
          </w:tcPr>
          <w:p>
            <w:r>
              <w:t>Südtirol-Wochenende</w:t>
            </w:r>
          </w:p>
        </w:tc>
        <w:tc>
          <w:tcPr>
            <w:tcW w:type="dxa" w:w="2493"/>
            <w:vAlign w:val="top"/>
          </w:tcPr>
          <w:p>
            <w:r>
              <w:t>Freundschaftsbehauptung</w:t>
            </w:r>
          </w:p>
        </w:tc>
      </w:tr>
      <w:tr>
        <w:tc>
          <w:tcPr>
            <w:tcW w:type="dxa" w:w="2493"/>
            <w:vAlign w:val="top"/>
          </w:tcPr>
          <w:p>
            <w:r>
              <w:t>E-Mail Vertriebsleiter</w:t>
            </w:r>
          </w:p>
        </w:tc>
        <w:tc>
          <w:tcPr>
            <w:tcW w:type="dxa" w:w="2493"/>
            <w:vAlign w:val="top"/>
          </w:tcPr>
          <w:p>
            <w:r>
              <w:t>Kiesel &amp; Rath</w:t>
            </w:r>
          </w:p>
        </w:tc>
        <w:tc>
          <w:tcPr>
            <w:tcW w:type="dxa" w:w="2493"/>
            <w:vAlign w:val="top"/>
          </w:tcPr>
          <w:p>
            <w:r>
              <w:t>Leistungsmerkmal vorgeschlagen</w:t>
            </w:r>
          </w:p>
        </w:tc>
        <w:tc>
          <w:tcPr>
            <w:tcW w:type="dxa" w:w="2493"/>
            <w:vAlign w:val="top"/>
          </w:tcPr>
          <w:p>
            <w:r>
              <w:t>offen, ob übernommen</w:t>
            </w:r>
          </w:p>
        </w:tc>
      </w:tr>
      <w:tr>
        <w:tc>
          <w:tcPr>
            <w:tcW w:type="dxa" w:w="2493"/>
            <w:vAlign w:val="top"/>
          </w:tcPr>
          <w:p>
            <w:r>
              <w:t>Rüge Konkurrenz</w:t>
            </w:r>
          </w:p>
        </w:tc>
        <w:tc>
          <w:tcPr>
            <w:tcW w:type="dxa" w:w="2493"/>
            <w:vAlign w:val="top"/>
          </w:tcPr>
          <w:p>
            <w:r>
              <w:t>BauTec Süd GmbH</w:t>
            </w:r>
          </w:p>
        </w:tc>
        <w:tc>
          <w:tcPr>
            <w:tcW w:type="dxa" w:w="2493"/>
            <w:vAlign w:val="top"/>
          </w:tcPr>
          <w:p>
            <w:r>
              <w:t>Produktnähe behauptet</w:t>
            </w:r>
          </w:p>
        </w:tc>
        <w:tc>
          <w:tcPr>
            <w:tcW w:type="dxa" w:w="2493"/>
            <w:vAlign w:val="top"/>
          </w:tcPr>
          <w:p>
            <w:r>
              <w:t>Eigeninteresse am Auftrag</w:t>
            </w:r>
          </w:p>
        </w:tc>
      </w:tr>
      <w:tr>
        <w:tc>
          <w:tcPr>
            <w:tcW w:type="dxa" w:w="2493"/>
            <w:vAlign w:val="top"/>
          </w:tcPr>
          <w:p>
            <w:r>
              <w:t>Durchsuchungsbericht</w:t>
            </w:r>
          </w:p>
        </w:tc>
        <w:tc>
          <w:tcPr>
            <w:tcW w:type="dxa" w:w="2493"/>
            <w:vAlign w:val="top"/>
          </w:tcPr>
          <w:p>
            <w:r>
              <w:t>StA München I</w:t>
            </w:r>
          </w:p>
        </w:tc>
        <w:tc>
          <w:tcPr>
            <w:tcW w:type="dxa" w:w="2493"/>
            <w:vAlign w:val="top"/>
          </w:tcPr>
          <w:p>
            <w:r>
              <w:t>Diensthandy gesichert</w:t>
            </w:r>
          </w:p>
        </w:tc>
        <w:tc>
          <w:tcPr>
            <w:tcW w:type="dxa" w:w="2493"/>
            <w:vAlign w:val="top"/>
          </w:tcPr>
          <w:p>
            <w:r>
              <w:t>Passwort für Privatgerät freiwillig genannt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331 StGB</w:t>
      </w:r>
    </w:p>
    <w:p>
      <w:pPr>
        <w:pStyle w:val="ListBullet"/>
      </w:pPr>
      <w:r>
        <w:t>Paragraf 332 StGB</w:t>
      </w:r>
    </w:p>
    <w:p>
      <w:pPr>
        <w:pStyle w:val="ListBullet"/>
      </w:pPr>
      <w:r>
        <w:t>Paragraf 266 StGB</w:t>
      </w:r>
    </w:p>
    <w:p>
      <w:pPr>
        <w:pStyle w:val="ListBullet"/>
      </w:pPr>
      <w:r>
        <w:t>Paragraf 102 StPO</w:t>
      </w:r>
    </w:p>
    <w:p>
      <w:pPr>
        <w:pStyle w:val="ListBullet"/>
      </w:pPr>
      <w:r>
        <w:t>Paragraf 110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München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München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Wirtschaftsstrafkammer 6 | Staatsanwaltschaft München I, 6 Js 9940/26 · 6 Js 9940/26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