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Entwurf nächster Verfahrensschritt</w:t>
      </w:r>
    </w:p>
    <w:p>
      <w:r>
        <w:rPr>
          <w:i/>
          <w:sz w:val="20"/>
        </w:rPr>
        <w:t>Bundesgerichtshof über Landgericht Duisburg, 7 KLs 220 Js 1180/25 | Staatsanwaltschaft Duisburg, 220 Js 1180/25</w:t>
      </w:r>
    </w:p>
    <w:p>
      <w:pPr>
        <w:pStyle w:val="Heading2"/>
      </w:pPr>
      <w:r>
        <w:t>Entwurfsziel</w:t>
      </w:r>
    </w:p>
    <w:p>
      <w:pPr>
        <w:spacing w:after="120" w:line="259" w:lineRule="auto"/>
      </w:pPr>
      <w:r>
        <w:t>Revisionsbegründung mit vollständiger Verfahrensrüge finalisieren, Protokollberichtigung beobachten und Sachrüge als Auffangnetz knapp, aber tragfähig formulieren.</w:t>
      </w:r>
    </w:p>
    <w:p>
      <w:pPr>
        <w:pStyle w:val="Heading2"/>
      </w:pPr>
      <w:r>
        <w:t>Textbaustein</w:t>
      </w:r>
    </w:p>
    <w:p>
      <w:pPr>
        <w:spacing w:after="120" w:line="259" w:lineRule="auto"/>
      </w:pPr>
      <w:r>
        <w:t>In der Sache Staatsanwaltschaft Duisburg, 220 Js 1180/25 beantragen wir zunächst, die nachfolgend bezeichneten Unterlagen vollständig und in Originalqualität zur Akte zu nehmen beziehungsweise der Verteidigung zugänglich zu machen.</w:t>
      </w:r>
    </w:p>
    <w:p>
      <w:pPr>
        <w:spacing w:after="120" w:line="259" w:lineRule="auto"/>
      </w:pPr>
      <w:r>
        <w:t>Eine abschließende Bewertung scheitert daran, dass der Ablehnungsbeschluss nicht im Wortlaut und die Anlage des Beweisantrags nicht vollständig in der Akte ist.</w:t>
      </w:r>
    </w:p>
    <w:p>
      <w:pPr>
        <w:spacing w:after="120" w:line="259" w:lineRule="auto"/>
      </w:pPr>
      <w:r>
        <w:t>Nach Eingang von Protokollauszug im Wortlaut und Antragsanlage wird die Rüge endgültig gefasst und die Beruhensfrage anhand des Urteils dargestellt.</w:t>
      </w:r>
    </w:p>
    <w:p>
      <w:pPr>
        <w:pStyle w:val="Heading2"/>
      </w:pPr>
      <w:r>
        <w:t>Konkrete Anträge und Bitten</w:t>
      </w:r>
    </w:p>
    <w:p>
      <w:pPr>
        <w:pStyle w:val="ListBullet"/>
      </w:pPr>
      <w:r>
        <w:t>Übersendung aller digitalen Originaldateien mit Metadaten und Sicherungsvermerken.</w:t>
      </w:r>
    </w:p>
    <w:p>
      <w:pPr>
        <w:pStyle w:val="ListBullet"/>
      </w:pPr>
      <w:r>
        <w:t>Mitteilung sämtlicher Zustelldaten, Ladungsdaten und noch offener Fristen.</w:t>
      </w:r>
    </w:p>
    <w:p>
      <w:pPr>
        <w:pStyle w:val="ListBullet"/>
      </w:pPr>
      <w:r>
        <w:t>Benennung ausstehender Gutachten und geplanter Vernehmungen.</w:t>
      </w:r>
    </w:p>
    <w:p>
      <w:pPr>
        <w:pStyle w:val="ListBullet"/>
      </w:pPr>
      <w:r>
        <w:t>Gelegenheit zur ergänzenden Stellungnahme nach vollständiger Akteneinsicht.</w:t>
      </w:r>
    </w:p>
    <w:p>
      <w:pPr>
        <w:pStyle w:val="Heading2"/>
      </w:pPr>
      <w:r>
        <w:t>Taktischer Hinweis</w:t>
      </w:r>
    </w:p>
    <w:p>
      <w:pPr>
        <w:spacing w:after="120" w:line="259" w:lineRule="auto"/>
      </w:pPr>
      <w:r>
        <w:t>Der Entwurf bleibt kurz: Er fordert die Protokollstellen an, ohne die Rüge vorab inhaltlich festzulegen und damit angreifbar zu machen.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Bundesgerichtshof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Bundesgerichtshof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7 KLs 220 Js 1180/25 | Staatsanwaltschaft Duisburg, 220 Js 1180/25 · 220 Js 1180/25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