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Landgericht Mainz, Jugend- und Schutzkammer 3 | Staatsanwaltschaft Mainz, 3 Js 3081/26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Mainz, 3 Js 3081/26 führt die Sache derzeit mit Schwerpunkt auf: sexueller Übergriff nach Paragraf 177 StGB; Aussage-gegen-Aussage-Konstellation; Nebenklage- und psychosoziale Prozessbegleitungsfragen.</w:t>
      </w:r>
    </w:p>
    <w:p>
      <w:pPr>
        <w:spacing w:after="120" w:line="259" w:lineRule="auto"/>
      </w:pPr>
      <w:r>
        <w:t>Die Akte ist eine klassische Aussage-gegen-Aussage-Konstellation: Tragend sind die Aussage der Zeugin vom 30.04.2026, die Kontakt-Zeitleiste und der rechtsmedizinische Befundbericht vom 07.04.2026; der Befund ist zur Entstehungszeit der Verletzungen bewusst zurückhaltend formuliert.</w:t>
      </w:r>
    </w:p>
    <w:p>
      <w:pPr>
        <w:spacing w:after="120" w:line="259" w:lineRule="auto"/>
      </w:pPr>
      <w:r>
        <w:t>Nachzutragen sind Blattstellen je Aussagedetail und die Zuordnung der Nachrichten der Zeitleiste zu Originalexporten; für die Aussageanalyse sind Konstanz, Detailierung und Entstehungsgeschichte als eigene Spalten zu führen.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Sprachnachrichten Amira</w:t>
            </w:r>
          </w:p>
        </w:tc>
        <w:tc>
          <w:tcPr>
            <w:tcW w:type="dxa" w:w="2493"/>
            <w:vAlign w:val="top"/>
          </w:tcPr>
          <w:p>
            <w:r>
              <w:t>Transkript 01.04.2026</w:t>
            </w:r>
          </w:p>
        </w:tc>
        <w:tc>
          <w:tcPr>
            <w:tcW w:type="dxa" w:w="2493"/>
            <w:vAlign w:val="top"/>
          </w:tcPr>
          <w:p>
            <w:r>
              <w:t>frühe Belastungsschilderung</w:t>
            </w:r>
          </w:p>
        </w:tc>
        <w:tc>
          <w:tcPr>
            <w:tcW w:type="dxa" w:w="2493"/>
            <w:vAlign w:val="top"/>
          </w:tcPr>
          <w:p>
            <w:r>
              <w:t>emotional und fragmentarisch</w:t>
            </w:r>
          </w:p>
        </w:tc>
      </w:tr>
      <w:tr>
        <w:tc>
          <w:tcPr>
            <w:tcW w:type="dxa" w:w="2493"/>
            <w:vAlign w:val="top"/>
          </w:tcPr>
          <w:p>
            <w:r>
              <w:t>ärztlicher Bericht</w:t>
            </w:r>
          </w:p>
        </w:tc>
        <w:tc>
          <w:tcPr>
            <w:tcW w:type="dxa" w:w="2493"/>
            <w:vAlign w:val="top"/>
          </w:tcPr>
          <w:p>
            <w:r>
              <w:t>Universitätsmedizin Mainz</w:t>
            </w:r>
          </w:p>
        </w:tc>
        <w:tc>
          <w:tcPr>
            <w:tcW w:type="dxa" w:w="2493"/>
            <w:vAlign w:val="top"/>
          </w:tcPr>
          <w:p>
            <w:r>
              <w:t>Belastungsreaktion dokumentiert</w:t>
            </w:r>
          </w:p>
        </w:tc>
        <w:tc>
          <w:tcPr>
            <w:tcW w:type="dxa" w:w="2493"/>
            <w:vAlign w:val="top"/>
          </w:tcPr>
          <w:p>
            <w:r>
              <w:t>keine eindeutigen Verletzungen</w:t>
            </w:r>
          </w:p>
        </w:tc>
      </w:tr>
      <w:tr>
        <w:tc>
          <w:tcPr>
            <w:tcW w:type="dxa" w:w="2493"/>
            <w:vAlign w:val="top"/>
          </w:tcPr>
          <w:p>
            <w:r>
              <w:t>Chatverlauf</w:t>
            </w:r>
          </w:p>
        </w:tc>
        <w:tc>
          <w:tcPr>
            <w:tcW w:type="dxa" w:w="2493"/>
            <w:vAlign w:val="top"/>
          </w:tcPr>
          <w:p>
            <w:r>
              <w:t>WhatsApp März bis April</w:t>
            </w:r>
          </w:p>
        </w:tc>
        <w:tc>
          <w:tcPr>
            <w:tcW w:type="dxa" w:w="2493"/>
            <w:vAlign w:val="top"/>
          </w:tcPr>
          <w:p>
            <w:r>
              <w:t>Abbruch nach Vorfall</w:t>
            </w:r>
          </w:p>
        </w:tc>
        <w:tc>
          <w:tcPr>
            <w:tcW w:type="dxa" w:w="2493"/>
            <w:vAlign w:val="top"/>
          </w:tcPr>
          <w:p>
            <w:r>
              <w:t>vorher freundlicher Kontakt</w:t>
            </w:r>
          </w:p>
        </w:tc>
      </w:tr>
      <w:tr>
        <w:tc>
          <w:tcPr>
            <w:tcW w:type="dxa" w:w="2493"/>
            <w:vAlign w:val="top"/>
          </w:tcPr>
          <w:p>
            <w:r>
              <w:t>Gastgeberin Paula M.</w:t>
            </w:r>
          </w:p>
        </w:tc>
        <w:tc>
          <w:tcPr>
            <w:tcW w:type="dxa" w:w="2493"/>
            <w:vAlign w:val="top"/>
          </w:tcPr>
          <w:p>
            <w:r>
              <w:t>Zeugin</w:t>
            </w:r>
          </w:p>
        </w:tc>
        <w:tc>
          <w:tcPr>
            <w:tcW w:type="dxa" w:w="2493"/>
            <w:vAlign w:val="top"/>
          </w:tcPr>
          <w:p>
            <w:r>
              <w:t>sah Leonie später weinen</w:t>
            </w:r>
          </w:p>
        </w:tc>
        <w:tc>
          <w:tcPr>
            <w:tcW w:type="dxa" w:w="2493"/>
            <w:vAlign w:val="top"/>
          </w:tcPr>
          <w:p>
            <w:r>
              <w:t>Vorfall selbst nicht gesehen</w:t>
            </w:r>
          </w:p>
        </w:tc>
      </w:tr>
      <w:tr>
        <w:tc>
          <w:tcPr>
            <w:tcW w:type="dxa" w:w="2493"/>
            <w:vAlign w:val="top"/>
          </w:tcPr>
          <w:p>
            <w:r>
              <w:t>Einlassungsankündigung</w:t>
            </w:r>
          </w:p>
        </w:tc>
        <w:tc>
          <w:tcPr>
            <w:tcW w:type="dxa" w:w="2493"/>
            <w:vAlign w:val="top"/>
          </w:tcPr>
          <w:p>
            <w:r>
              <w:t>Verteidigung Reimers</w:t>
            </w:r>
          </w:p>
        </w:tc>
        <w:tc>
          <w:tcPr>
            <w:tcW w:type="dxa" w:w="2493"/>
            <w:vAlign w:val="top"/>
          </w:tcPr>
          <w:p>
            <w:r>
              <w:t>bestreitet fehlendes Einverständnis</w:t>
            </w:r>
          </w:p>
        </w:tc>
        <w:tc>
          <w:tcPr>
            <w:tcW w:type="dxa" w:w="2493"/>
            <w:vAlign w:val="top"/>
          </w:tcPr>
          <w:p>
            <w:r>
              <w:t>keine eigene Detailversion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177 StGB</w:t>
      </w:r>
    </w:p>
    <w:p>
      <w:pPr>
        <w:pStyle w:val="ListBullet"/>
      </w:pPr>
      <w:r>
        <w:t>Paragraf 395 StPO</w:t>
      </w:r>
    </w:p>
    <w:p>
      <w:pPr>
        <w:pStyle w:val="ListBullet"/>
      </w:pPr>
      <w:r>
        <w:t>Paragraf 406g StPO</w:t>
      </w:r>
    </w:p>
    <w:p>
      <w:pPr>
        <w:pStyle w:val="ListBullet"/>
      </w:pPr>
      <w:r>
        <w:t>Paragraf 247 StPO</w:t>
      </w:r>
    </w:p>
    <w:p>
      <w:pPr>
        <w:pStyle w:val="ListBullet"/>
      </w:pPr>
      <w:r>
        <w:t>Paragraf 244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Mainz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Mainz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Jugend- und Schutzkammer 3 | Staatsanwaltschaft Mainz, 3 Js 3081/26 · 3 Js 3081/26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