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Landgericht Mainz, Jugend- und Schutzkammer 3 | Staatsanwaltschaft Mainz, 3 Js 3081/26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bei der Verteidigung des Beschuldigten und dem Arbeitsprodukt: Stellungnahme nach Akteneinsicht und Entscheidung über einen aussagepsychologischen Beweisantrag.</w:t>
      </w:r>
    </w:p>
    <w:p>
      <w:pPr>
        <w:spacing w:after="120" w:line="259" w:lineRule="auto"/>
      </w:pPr>
      <w:r>
        <w:t>Zu trennen sind der objektive Befund, die Aussagequalität und der subjektive Tatbestand; der rechtsmedizinische Bericht trägt keine Zeitfestlegung, sodass die Nachrichtenlage vor und nach dem fraglichen Abend zentral wird.</w:t>
      </w:r>
    </w:p>
    <w:p>
      <w:pPr>
        <w:pStyle w:val="ListBullet"/>
      </w:pPr>
      <w:r>
        <w:t>Normanker: Paragraf 177 StGB, Paragraf 395 StPO, Paragraf 406g StPO, Paragraf 247 StPO, Paragraf 244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Nebenklageanschluss, Schutzanträge, behutsame Vorbereitung der Vernehmung und Antrag auf Sicherung der Original-Sprachnachrichten samt Metadaten.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Mainz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Mainz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Jugend- und Schutzkammer 3 | Staatsanwaltschaft Mainz, 3 Js 3081/26 · 3 Js 3081/26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