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34"/>
        </w:rPr>
        <w:t>Ermittlungsakte Auszüge und Beweislage</w:t>
      </w:r>
    </w:p>
    <w:p>
      <w:r>
        <w:rPr>
          <w:i/>
          <w:sz w:val="20"/>
        </w:rPr>
        <w:t>Amtsgericht Kassel, Schöffengericht Abteilung 42 | Staatsanwaltschaft Kassel, 42 Js 3771/26</w:t>
      </w:r>
    </w:p>
    <w:p>
      <w:pPr>
        <w:pStyle w:val="Heading2"/>
      </w:pPr>
      <w:r>
        <w:t>Aktenauszug</w:t>
      </w:r>
    </w:p>
    <w:p>
      <w:pPr>
        <w:spacing w:after="120" w:line="259" w:lineRule="auto"/>
      </w:pPr>
      <w:r>
        <w:t>Staatsanwaltschaft Kassel, 42 Js 3771/26 führt die Sache derzeit mit Schwerpunkt auf: Untreue nach Paragraf 266 StGB; Unterschlagungs- und Betrugsprüfung; Einziehung und Vermögensarrest.</w:t>
      </w:r>
    </w:p>
    <w:p>
      <w:pPr>
        <w:spacing w:after="120" w:line="259" w:lineRule="auto"/>
      </w:pPr>
      <w:r>
        <w:t>Die Ermittlungsakte stützt den Untreuevorwurf vor allem auf den Kassenprüfungsbericht vom 15.01.2026, die vier Überweisungen an M. Schulte ohne Belegzuordnung und die wiederkehrenden Bargeldabhebungen der Kartenverfügung Nr. 4; für die Abhebungen fehlen aber die Originalbelege des Kreditinstituts und für den Kontoabgleich der Export mit Prüfpfad.</w:t>
      </w:r>
    </w:p>
    <w:p>
      <w:pPr>
        <w:spacing w:after="120" w:line="259" w:lineRule="auto"/>
      </w:pPr>
      <w:r>
        <w:t>Für eine gerichtsfeste Bearbeitung sind je Buchung Blattstelle, Herkunft (Kassenbuch, Kontoauszug, Prüfbericht) und Beweisrichtung nachzutragen; insbesondere muss jede der Zahlungen an M. Schulte einer Vereinsentscheidung oder eben keiner zugeordnet werden.</w:t>
      </w:r>
    </w:p>
    <w:p>
      <w:pPr>
        <w:pStyle w:val="Heading2"/>
      </w:pPr>
      <w:r>
        <w:t>Beweismittelübersicht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</w:rPr>
              <w:t>Spalte 1</w:t>
            </w:r>
          </w:p>
        </w:tc>
        <w:tc>
          <w:tcPr>
            <w:tcW w:type="dxa" w:w="2493"/>
          </w:tcPr>
          <w:p>
            <w:r>
              <w:rPr>
                <w:b/>
              </w:rPr>
              <w:t>Spalte 2</w:t>
            </w:r>
          </w:p>
        </w:tc>
        <w:tc>
          <w:tcPr>
            <w:tcW w:type="dxa" w:w="2493"/>
          </w:tcPr>
          <w:p>
            <w:r>
              <w:rPr>
                <w:b/>
              </w:rPr>
              <w:t>Spalte 3</w:t>
            </w:r>
          </w:p>
        </w:tc>
        <w:tc>
          <w:tcPr>
            <w:tcW w:type="dxa" w:w="2493"/>
          </w:tcPr>
          <w:p>
            <w:r>
              <w:rPr>
                <w:b/>
              </w:rPr>
              <w:t>Spalte 4</w:t>
            </w:r>
          </w:p>
        </w:tc>
      </w:tr>
      <w:tr>
        <w:tc>
          <w:tcPr>
            <w:tcW w:type="dxa" w:w="2493"/>
            <w:vAlign w:val="top"/>
          </w:tcPr>
          <w:p>
            <w:r>
              <w:t>Kassenbuch</w:t>
            </w:r>
          </w:p>
        </w:tc>
        <w:tc>
          <w:tcPr>
            <w:tcW w:type="dxa" w:w="2493"/>
            <w:vAlign w:val="top"/>
          </w:tcPr>
          <w:p>
            <w:r>
              <w:t>Excel-Export Verein</w:t>
            </w:r>
          </w:p>
        </w:tc>
        <w:tc>
          <w:tcPr>
            <w:tcW w:type="dxa" w:w="2493"/>
            <w:vAlign w:val="top"/>
          </w:tcPr>
          <w:p>
            <w:r>
              <w:t>Fehlbetrag und Barabhebungen</w:t>
            </w:r>
          </w:p>
        </w:tc>
        <w:tc>
          <w:tcPr>
            <w:tcW w:type="dxa" w:w="2493"/>
            <w:vAlign w:val="top"/>
          </w:tcPr>
          <w:p>
            <w:r>
              <w:t>Beleglage teilweise unvollständig</w:t>
            </w:r>
          </w:p>
        </w:tc>
      </w:tr>
      <w:tr>
        <w:tc>
          <w:tcPr>
            <w:tcW w:type="dxa" w:w="2493"/>
            <w:vAlign w:val="top"/>
          </w:tcPr>
          <w:p>
            <w:r>
              <w:t>Sponsoringvertrag</w:t>
            </w:r>
          </w:p>
        </w:tc>
        <w:tc>
          <w:tcPr>
            <w:tcW w:type="dxa" w:w="2493"/>
            <w:vAlign w:val="top"/>
          </w:tcPr>
          <w:p>
            <w:r>
              <w:t>Autohaus Kern</w:t>
            </w:r>
          </w:p>
        </w:tc>
        <w:tc>
          <w:tcPr>
            <w:tcW w:type="dxa" w:w="2493"/>
            <w:vAlign w:val="top"/>
          </w:tcPr>
          <w:p>
            <w:r>
              <w:t>Zweckbindung Jugendtrikots</w:t>
            </w:r>
          </w:p>
        </w:tc>
        <w:tc>
          <w:tcPr>
            <w:tcW w:type="dxa" w:w="2493"/>
            <w:vAlign w:val="top"/>
          </w:tcPr>
          <w:p>
            <w:r>
              <w:t>Zahlungszweck allgemein formuliert</w:t>
            </w:r>
          </w:p>
        </w:tc>
      </w:tr>
      <w:tr>
        <w:tc>
          <w:tcPr>
            <w:tcW w:type="dxa" w:w="2493"/>
            <w:vAlign w:val="top"/>
          </w:tcPr>
          <w:p>
            <w:r>
              <w:t>Quittungen</w:t>
            </w:r>
          </w:p>
        </w:tc>
        <w:tc>
          <w:tcPr>
            <w:tcW w:type="dxa" w:w="2493"/>
            <w:vAlign w:val="top"/>
          </w:tcPr>
          <w:p>
            <w:r>
              <w:t>Belegordner 2024/2025</w:t>
            </w:r>
          </w:p>
        </w:tc>
        <w:tc>
          <w:tcPr>
            <w:tcW w:type="dxa" w:w="2493"/>
            <w:vAlign w:val="top"/>
          </w:tcPr>
          <w:p>
            <w:r>
              <w:t>identisches Schriftbild</w:t>
            </w:r>
          </w:p>
        </w:tc>
        <w:tc>
          <w:tcPr>
            <w:tcW w:type="dxa" w:w="2493"/>
            <w:vAlign w:val="top"/>
          </w:tcPr>
          <w:p>
            <w:r>
              <w:t>einige Leistungen tatsächlich erbracht</w:t>
            </w:r>
          </w:p>
        </w:tc>
      </w:tr>
      <w:tr>
        <w:tc>
          <w:tcPr>
            <w:tcW w:type="dxa" w:w="2493"/>
            <w:vAlign w:val="top"/>
          </w:tcPr>
          <w:p>
            <w:r>
              <w:t>Privattabelle</w:t>
            </w:r>
          </w:p>
        </w:tc>
        <w:tc>
          <w:tcPr>
            <w:tcW w:type="dxa" w:w="2493"/>
            <w:vAlign w:val="top"/>
          </w:tcPr>
          <w:p>
            <w:r>
              <w:t>Laptop Schulte</w:t>
            </w:r>
          </w:p>
        </w:tc>
        <w:tc>
          <w:tcPr>
            <w:tcW w:type="dxa" w:w="2493"/>
            <w:vAlign w:val="top"/>
          </w:tcPr>
          <w:p>
            <w:r>
              <w:t>Spalten Privat und Verein</w:t>
            </w:r>
          </w:p>
        </w:tc>
        <w:tc>
          <w:tcPr>
            <w:tcW w:type="dxa" w:w="2493"/>
            <w:vAlign w:val="top"/>
          </w:tcPr>
          <w:p>
            <w:r>
              <w:t>Kontext erklärungsbedürftig</w:t>
            </w:r>
          </w:p>
        </w:tc>
      </w:tr>
      <w:tr>
        <w:tc>
          <w:tcPr>
            <w:tcW w:type="dxa" w:w="2493"/>
            <w:vAlign w:val="top"/>
          </w:tcPr>
          <w:p>
            <w:r>
              <w:t>Zeugin Melzer</w:t>
            </w:r>
          </w:p>
        </w:tc>
        <w:tc>
          <w:tcPr>
            <w:tcW w:type="dxa" w:w="2493"/>
            <w:vAlign w:val="top"/>
          </w:tcPr>
          <w:p>
            <w:r>
              <w:t>neue Vorsitzende</w:t>
            </w:r>
          </w:p>
        </w:tc>
        <w:tc>
          <w:tcPr>
            <w:tcW w:type="dxa" w:w="2493"/>
            <w:vAlign w:val="top"/>
          </w:tcPr>
          <w:p>
            <w:r>
              <w:t>fehlende Vorstandsbeschlüsse</w:t>
            </w:r>
          </w:p>
        </w:tc>
        <w:tc>
          <w:tcPr>
            <w:tcW w:type="dxa" w:w="2493"/>
            <w:vAlign w:val="top"/>
          </w:tcPr>
          <w:p>
            <w:r>
              <w:t>eigene Kontrollversäumnisse möglich</w:t>
            </w:r>
          </w:p>
        </w:tc>
      </w:tr>
    </w:tbl>
    <w:p/>
    <w:p>
      <w:pPr>
        <w:pStyle w:val="Heading2"/>
      </w:pPr>
      <w:r>
        <w:t>Normanker</w:t>
      </w:r>
    </w:p>
    <w:p>
      <w:pPr>
        <w:pStyle w:val="ListBullet"/>
      </w:pPr>
      <w:r>
        <w:t>Paragraf 266 StGB</w:t>
      </w:r>
    </w:p>
    <w:p>
      <w:pPr>
        <w:pStyle w:val="ListBullet"/>
      </w:pPr>
      <w:r>
        <w:t>Paragraf 73 StGB</w:t>
      </w:r>
    </w:p>
    <w:p>
      <w:pPr>
        <w:pStyle w:val="ListBullet"/>
      </w:pPr>
      <w:r>
        <w:t>Paragraf 111e StPO</w:t>
      </w:r>
    </w:p>
    <w:p>
      <w:pPr>
        <w:pStyle w:val="ListBullet"/>
      </w:pPr>
      <w:r>
        <w:t>Paragraf 403 StPO</w:t>
      </w:r>
    </w:p>
    <w:p>
      <w:pPr>
        <w:pStyle w:val="ListBullet"/>
      </w:pPr>
      <w:r>
        <w:t>Paragraf 147 StPO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1020" w:left="1134" w:header="68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71" w:val="right"/>
      </w:tabs>
      <w:jc w:val="left"/>
    </w:pPr>
    <w:r>
      <w:rPr>
        <w:rFonts w:ascii="Times New Roman" w:hAnsi="Times New Roman"/>
        <w:color w:val="6B6B66"/>
        <w:sz w:val="16"/>
      </w:rPr>
    </w:r>
    <w:r>
      <w:rPr>
        <w:rFonts w:ascii="Times New Roman" w:hAnsi="Times New Roman"/>
        <w:color w:val="6B6B66"/>
        <w:sz w:val="16"/>
      </w:rPr>
      <w:t>Amtsgericht Kassel</w:t>
    </w:r>
    <w:r>
      <w:rPr>
        <w:rFonts w:ascii="Times New Roman" w:hAnsi="Times New Roman"/>
        <w:color w:val="6B6B66"/>
        <w:sz w:val="16"/>
      </w:rPr>
      <w:tab/>
      <w:t xml:space="preserve">Seite </w:t>
    </w:r>
    <w:r>
      <w:rPr>
        <w:rFonts w:ascii="Times New Roman" w:hAnsi="Times New Roman"/>
        <w:color w:val="6B6B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/>
        <w:color w:val="3B3F45"/>
        <w:sz w:val="24"/>
      </w:rPr>
      <w:t>Amtsgericht Kassel</w:t>
    </w:r>
  </w:p>
  <w:p>
    <w:pPr>
      <w:jc w:val="left"/>
      <w:pBdr>
        <w:bottom w:val="single" w:sz="6" w:space="2" w:color="3B3F45"/>
      </w:pBdr>
    </w:pPr>
    <w:r>
      <w:rPr>
        <w:rFonts w:ascii="Times New Roman" w:hAnsi="Times New Roman"/>
        <w:color w:val="6B6B66"/>
        <w:sz w:val="16"/>
      </w:rPr>
      <w:t>Schöffengericht Abteilung 42 | Staatsanwaltschaft Kassel, 42 Js 3771/26 · 42 Js 3771/26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