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34"/>
        </w:rPr>
        <w:t>Rechtliche Arbeitsnotiz</w:t>
      </w:r>
    </w:p>
    <w:p>
      <w:r>
        <w:rPr>
          <w:i/>
          <w:sz w:val="20"/>
        </w:rPr>
        <w:t>Amtsgericht Kassel, Schöffengericht Abteilung 42 | Staatsanwaltschaft Kassel, 42 Js 3771/26</w:t>
      </w:r>
    </w:p>
    <w:p>
      <w:pPr>
        <w:pStyle w:val="Heading2"/>
      </w:pPr>
      <w:r>
        <w:t>Rechtlicher Einstieg</w:t>
      </w:r>
    </w:p>
    <w:p>
      <w:pPr>
        <w:spacing w:after="120" w:line="259" w:lineRule="auto"/>
      </w:pPr>
      <w:r>
        <w:t>Die Prüfung beginnt bei der Verteidigungsrolle im Ermittlungsverfahren gegen den Kassenwart und dem konkreten Arbeitsprodukt: Stellungnahme nach Akteneinsicht, Prüfung einer Arrestanregung der Staatsanwaltschaft und Vorbereitung auf einen möglichen Adhäsionsantrag des Vereins.</w:t>
      </w:r>
    </w:p>
    <w:p>
      <w:pPr>
        <w:spacing w:after="120" w:line="259" w:lineRule="auto"/>
      </w:pPr>
      <w:r>
        <w:t>Getrennt zu prüfen sind Vermögensbetreuungspflicht des Kassenwarts, Pflichtverletzung je Buchungskreis (Barabhebungen, Überweisungen an M. Schulte, Vereinsfeste) und Vermögensnachteil; die Einlassung, es habe mündliche Absprachen mit dem Vorstand gegeben, ist gegen Protokolle und Kassenordnung zu stellen.</w:t>
      </w:r>
    </w:p>
    <w:p>
      <w:pPr>
        <w:pStyle w:val="ListBullet"/>
      </w:pPr>
      <w:r>
        <w:t>Normanker: Paragraf 266 StGB, Paragraf 73 StGB, Paragraf 111e StPO, Paragraf 403 StPO, Paragraf 147 StPO.</w:t>
      </w:r>
    </w:p>
    <w:p>
      <w:pPr>
        <w:pStyle w:val="Heading2"/>
      </w:pPr>
      <w:r>
        <w:t>Arbeitsmatrix</w:t>
      </w:r>
    </w:p>
    <w:p>
      <w:pPr>
        <w:pStyle w:val="ListBullet"/>
      </w:pPr>
      <w:r>
        <w:t>Tatbestandsmerkmal: Welche konkrete Tatsache trägt es?</w:t>
      </w:r>
    </w:p>
    <w:p>
      <w:pPr>
        <w:pStyle w:val="ListBullet"/>
      </w:pPr>
      <w:r>
        <w:t>Beweismittel: Ist es original, vollständig, verwertbar und in sich konstant?</w:t>
      </w:r>
    </w:p>
    <w:p>
      <w:pPr>
        <w:pStyle w:val="ListBullet"/>
      </w:pPr>
      <w:r>
        <w:t>Gegenposition: Welches alternative Geschehen ist aktenkundig und nicht nur spekulativ?</w:t>
      </w:r>
    </w:p>
    <w:p>
      <w:pPr>
        <w:pStyle w:val="ListBullet"/>
      </w:pPr>
      <w:r>
        <w:t>Risiko: Welche Nebenfolge droht unabhängig vom Ausgang der Hauptsache?</w:t>
      </w:r>
    </w:p>
    <w:p>
      <w:pPr>
        <w:pStyle w:val="ListBullet"/>
      </w:pPr>
      <w:r>
        <w:t>Output: konkreter Antrag oder konkreter Entwurf, keine bloße Rechtsmeinung.</w:t>
      </w:r>
    </w:p>
    <w:p>
      <w:pPr>
        <w:pStyle w:val="Heading2"/>
      </w:pPr>
      <w:r>
        <w:t>Nächster Schritt</w:t>
      </w:r>
    </w:p>
    <w:p>
      <w:pPr>
        <w:spacing w:after="120" w:line="259" w:lineRule="auto"/>
      </w:pPr>
      <w:r>
        <w:t>Schadensmatrix finalisieren, Arrestanregung prüfen, Belege in echte Ausgaben und ungeklärte Abflüsse trennen und Adhäsionsantrag vorbereiten.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1020" w:left="1134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Amtsgericht Kassel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Amtsgericht Kassel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Schöffengericht Abteilung 42 | Staatsanwaltschaft Kassel, 42 Js 3771/26 · 42 Js 3771/26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