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Rechtliche Arbeitsnotiz</w:t>
      </w:r>
    </w:p>
    <w:p>
      <w:r>
        <w:rPr>
          <w:i/>
          <w:sz w:val="20"/>
        </w:rPr>
        <w:t>Amtsgericht Bremen, Strafrichter Abteilung 95 | Staatsanwaltschaft Bremen, 95 Js 4402/26</w:t>
      </w:r>
    </w:p>
    <w:p>
      <w:pPr>
        <w:pStyle w:val="Heading2"/>
      </w:pPr>
      <w:r>
        <w:t>Rechtlicher Einstieg</w:t>
      </w:r>
    </w:p>
    <w:p>
      <w:pPr>
        <w:spacing w:after="120" w:line="259" w:lineRule="auto"/>
      </w:pPr>
      <w:r>
        <w:t>Die Prüfung beginnt bei der Verteidigung der beschuldigten Pflegekraft und dem Arbeitsprodukt: Stellungnahme zur Urkundeneigenschaft der eAU-Datensätze und zur Abgrenzung von Urkundenfälschung und Betrug.</w:t>
      </w:r>
    </w:p>
    <w:p>
      <w:pPr>
        <w:spacing w:after="120" w:line="259" w:lineRule="auto"/>
      </w:pPr>
      <w:r>
        <w:t>Zu trennen sind Urkundenqualität je Beleg (Papier-AU, eAU-Datensatz), Täuschungshandlung gegenüber dem Arbeitgeber und Vermögensschaden; die Aussage Hövels trägt den Vorwurf nur für die Zeiträume, in denen der Dienstplan Anwesenheit ausweist.</w:t>
      </w:r>
    </w:p>
    <w:p>
      <w:pPr>
        <w:pStyle w:val="ListBullet"/>
      </w:pPr>
      <w:r>
        <w:t>Normanker: Paragraf 267 StGB, Paragraf 263 StGB, Paragraf 153 StPO, Paragraf 153a StPO, Paragraf 147 StPO.</w:t>
      </w:r>
    </w:p>
    <w:p>
      <w:pPr>
        <w:pStyle w:val="Heading2"/>
      </w:pPr>
      <w:r>
        <w:t>Arbeitsmatrix</w:t>
      </w:r>
    </w:p>
    <w:p>
      <w:pPr>
        <w:pStyle w:val="ListBullet"/>
      </w:pPr>
      <w:r>
        <w:t>Tatbestandsmerkmal: Welche konkrete Tatsache trägt es?</w:t>
      </w:r>
    </w:p>
    <w:p>
      <w:pPr>
        <w:pStyle w:val="ListBullet"/>
      </w:pPr>
      <w:r>
        <w:t>Beweismittel: Ist es original, vollständig, verwertbar und in sich konstant?</w:t>
      </w:r>
    </w:p>
    <w:p>
      <w:pPr>
        <w:pStyle w:val="ListBullet"/>
      </w:pPr>
      <w:r>
        <w:t>Gegenposition: Welches alternative Geschehen ist aktenkundig und nicht nur spekulativ?</w:t>
      </w:r>
    </w:p>
    <w:p>
      <w:pPr>
        <w:pStyle w:val="ListBullet"/>
      </w:pPr>
      <w:r>
        <w:t>Risiko: Welche Nebenfolge droht unabhängig vom Ausgang der Hauptsache?</w:t>
      </w:r>
    </w:p>
    <w:p>
      <w:pPr>
        <w:pStyle w:val="ListBullet"/>
      </w:pPr>
      <w:r>
        <w:t>Output: konkreter Antrag oder konkreter Entwurf, keine bloße Rechtsmeinung.</w:t>
      </w:r>
    </w:p>
    <w:p>
      <w:pPr>
        <w:pStyle w:val="Heading2"/>
      </w:pPr>
      <w:r>
        <w:t>Nächster Schritt</w:t>
      </w:r>
    </w:p>
    <w:p>
      <w:pPr>
        <w:spacing w:after="120" w:line="259" w:lineRule="auto"/>
      </w:pPr>
      <w:r>
        <w:t>Original-eAU-Abfrage, Telefonnotiz der Praxis und Smartphone-Dateiverlauf sichern; zugleich Einstellung gegen geringe Auflage und arbeitsgerichtliche Schadensbegrenzung prüfen.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Amtsgericht Bremen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Amtsgericht Bremen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Strafrichter Abteilung 95 | Staatsanwaltschaft Bremen, 95 Js 4402/26 · 95 Js 4402/26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