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Amtsgericht Bremen, Strafrichter Abteilung 95 | Staatsanwaltschaft Bremen, 95 Js 4402/26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Original-eAU-Abfrage, Telefonnotiz der Praxis und Smartphone-Dateiverlauf sichern; zugleich Einstellung gegen geringe Auflage und arbeitsgerichtliche Schadensbegrenzung prüfen.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Bremen, 95 Js 4402/26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Eine abschließende Stellungnahme ist nicht möglich, weil die Original-Bescheinigungen fehlen, die Praxis des ausstellenden Arztes nicht befragt ist und der Dienstplan-Abgleich ohne die Korrekturläufe der Einsatzplanung vorliegt.</w:t>
      </w:r>
    </w:p>
    <w:p>
      <w:pPr>
        <w:spacing w:after="120" w:line="259" w:lineRule="auto"/>
      </w:pPr>
      <w:r>
        <w:t>Mit den Nachlieferungen wird je Zeitraum Stellung genommen und zwischen echten, erschlichenen und gefälschten Bescheinigungen unterschieden; daran hängt die Normwahl.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bleibt kurz und legt sich nicht auf eine Erklärung der Anwesenheitswidersprüche fest, bevor die Korrekturläufe des Dienstplans vorliegen.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Bremen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Bremen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95 | Staatsanwaltschaft Bremen, 95 Js 4402/26 · 95 Js 4402/26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