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Amtsgericht Tiergarten, Strafrichter Abteilung 304 | Staatsanwaltschaft Berlin, 304 Js 1288/26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Berlin, 304 Js 1288/26 führt die Sache derzeit mit Schwerpunkt auf: verbotenes Kraftfahrzeugrennen als Alleinrennen nach Paragraf 315d StGB; unerlaubtes Entfernen vom Unfallort nach Paragraf 142 StGB; Gefährdung und Fahrerlaubnisentziehung.</w:t>
      </w:r>
    </w:p>
    <w:p>
      <w:pPr>
        <w:spacing w:after="120" w:line="259" w:lineRule="auto"/>
      </w:pPr>
      <w:r>
        <w:t>Belastend sind die EDR-Telematik-Zeitreihe, das Sachverständigengutachten vom 20.06.2026 und der Dashcam-Sicherstellungs- und Auswertevermerk vom 28.05.2026; die Dashcam-Rohdatei ist gesichert, aber der Akte nur als Vermerk beigefügt.</w:t>
      </w:r>
    </w:p>
    <w:p>
      <w:pPr>
        <w:spacing w:after="120" w:line="259" w:lineRule="auto"/>
      </w:pPr>
      <w:r>
        <w:t>Nachzutragen sind Blattstellen je Messpunkt der Zeitreihe und die Synchronisation von EDR-, Dashcam- und Ampelschaltzeiten; die Beweisrichtung (Geschwindigkeit, Fahrweise, Renncharakter) ist je Datenquelle zu trennen.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Dashcam Lieferwagen</w:t>
            </w:r>
          </w:p>
        </w:tc>
        <w:tc>
          <w:tcPr>
            <w:tcW w:type="dxa" w:w="2493"/>
            <w:vAlign w:val="top"/>
          </w:tcPr>
          <w:p>
            <w:r>
              <w:t>Spedition Wiegand</w:t>
            </w:r>
          </w:p>
        </w:tc>
        <w:tc>
          <w:tcPr>
            <w:tcW w:type="dxa" w:w="2493"/>
            <w:vAlign w:val="top"/>
          </w:tcPr>
          <w:p>
            <w:r>
              <w:t>Beschleunigung und Überholen</w:t>
            </w:r>
          </w:p>
        </w:tc>
        <w:tc>
          <w:tcPr>
            <w:tcW w:type="dxa" w:w="2493"/>
            <w:vAlign w:val="top"/>
          </w:tcPr>
          <w:p>
            <w:r>
              <w:t>Ton fehlt, Winkel begrenzt</w:t>
            </w:r>
          </w:p>
        </w:tc>
      </w:tr>
      <w:tr>
        <w:tc>
          <w:tcPr>
            <w:tcW w:type="dxa" w:w="2493"/>
            <w:vAlign w:val="top"/>
          </w:tcPr>
          <w:p>
            <w:r>
              <w:t>EDR-Daten BMW</w:t>
            </w:r>
          </w:p>
        </w:tc>
        <w:tc>
          <w:tcPr>
            <w:tcW w:type="dxa" w:w="2493"/>
            <w:vAlign w:val="top"/>
          </w:tcPr>
          <w:p>
            <w:r>
              <w:t>Sachverständiger Pahl</w:t>
            </w:r>
          </w:p>
        </w:tc>
        <w:tc>
          <w:tcPr>
            <w:tcW w:type="dxa" w:w="2493"/>
            <w:vAlign w:val="top"/>
          </w:tcPr>
          <w:p>
            <w:r>
              <w:t>Geschwindigkeit und Bremspunkt</w:t>
            </w:r>
          </w:p>
        </w:tc>
        <w:tc>
          <w:tcPr>
            <w:tcW w:type="dxa" w:w="2493"/>
            <w:vAlign w:val="top"/>
          </w:tcPr>
          <w:p>
            <w:r>
              <w:t>Kalibrierung streitig</w:t>
            </w:r>
          </w:p>
        </w:tc>
      </w:tr>
      <w:tr>
        <w:tc>
          <w:tcPr>
            <w:tcW w:type="dxa" w:w="2493"/>
            <w:vAlign w:val="top"/>
          </w:tcPr>
          <w:p>
            <w:r>
              <w:t>Unfallskizze</w:t>
            </w:r>
          </w:p>
        </w:tc>
        <w:tc>
          <w:tcPr>
            <w:tcW w:type="dxa" w:w="2493"/>
            <w:vAlign w:val="top"/>
          </w:tcPr>
          <w:p>
            <w:r>
              <w:t>Polizei Berlin</w:t>
            </w:r>
          </w:p>
        </w:tc>
        <w:tc>
          <w:tcPr>
            <w:tcW w:type="dxa" w:w="2493"/>
            <w:vAlign w:val="top"/>
          </w:tcPr>
          <w:p>
            <w:r>
              <w:t>Laterne und Taxi beschädigt</w:t>
            </w:r>
          </w:p>
        </w:tc>
        <w:tc>
          <w:tcPr>
            <w:tcW w:type="dxa" w:w="2493"/>
            <w:vAlign w:val="top"/>
          </w:tcPr>
          <w:p>
            <w:r>
              <w:t>keine Augenzeugen des Aussteigens</w:t>
            </w:r>
          </w:p>
        </w:tc>
      </w:tr>
      <w:tr>
        <w:tc>
          <w:tcPr>
            <w:tcW w:type="dxa" w:w="2493"/>
            <w:vAlign w:val="top"/>
          </w:tcPr>
          <w:p>
            <w:r>
              <w:t>Telefonverlauf</w:t>
            </w:r>
          </w:p>
        </w:tc>
        <w:tc>
          <w:tcPr>
            <w:tcW w:type="dxa" w:w="2493"/>
            <w:vAlign w:val="top"/>
          </w:tcPr>
          <w:p>
            <w:r>
              <w:t>Mandant und Partnerin</w:t>
            </w:r>
          </w:p>
        </w:tc>
        <w:tc>
          <w:tcPr>
            <w:tcW w:type="dxa" w:w="2493"/>
            <w:vAlign w:val="top"/>
          </w:tcPr>
          <w:p>
            <w:r>
              <w:t>emotionaler Auslöser</w:t>
            </w:r>
          </w:p>
        </w:tc>
        <w:tc>
          <w:tcPr>
            <w:tcW w:type="dxa" w:w="2493"/>
            <w:vAlign w:val="top"/>
          </w:tcPr>
          <w:p>
            <w:r>
              <w:t>kein Entlastungsbeweis zur Fahrweise</w:t>
            </w:r>
          </w:p>
        </w:tc>
      </w:tr>
      <w:tr>
        <w:tc>
          <w:tcPr>
            <w:tcW w:type="dxa" w:w="2493"/>
            <w:vAlign w:val="top"/>
          </w:tcPr>
          <w:p>
            <w:r>
              <w:t>Schadensgutachten</w:t>
            </w:r>
          </w:p>
        </w:tc>
        <w:tc>
          <w:tcPr>
            <w:tcW w:type="dxa" w:w="2493"/>
            <w:vAlign w:val="top"/>
          </w:tcPr>
          <w:p>
            <w:r>
              <w:t>Taxiunternehmen Moritz</w:t>
            </w:r>
          </w:p>
        </w:tc>
        <w:tc>
          <w:tcPr>
            <w:tcW w:type="dxa" w:w="2493"/>
            <w:vAlign w:val="top"/>
          </w:tcPr>
          <w:p>
            <w:r>
              <w:t>Sachschaden 9.280 Euro</w:t>
            </w:r>
          </w:p>
        </w:tc>
        <w:tc>
          <w:tcPr>
            <w:tcW w:type="dxa" w:w="2493"/>
            <w:vAlign w:val="top"/>
          </w:tcPr>
          <w:p>
            <w:r>
              <w:t>Nutzungsausfall offen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315d StGB</w:t>
      </w:r>
    </w:p>
    <w:p>
      <w:pPr>
        <w:pStyle w:val="ListBullet"/>
      </w:pPr>
      <w:r>
        <w:t>Paragraf 142 StGB</w:t>
      </w:r>
    </w:p>
    <w:p>
      <w:pPr>
        <w:pStyle w:val="ListBullet"/>
      </w:pPr>
      <w:r>
        <w:t>Paragraf 69 StGB</w:t>
      </w:r>
    </w:p>
    <w:p>
      <w:pPr>
        <w:pStyle w:val="ListBullet"/>
      </w:pPr>
      <w:r>
        <w:t>Paragraf 111a StPO</w:t>
      </w:r>
    </w:p>
    <w:p>
      <w:pPr>
        <w:pStyle w:val="ListBullet"/>
      </w:pPr>
      <w:r>
        <w:t>Paragraf 244 StPO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Tiergarten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Tiergarten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304 | Staatsanwaltschaft Berlin, 304 Js 1288/26 · 304 Js 1288/26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