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Tiergarten, Strafrichter Abteilung 304 | Staatsanwaltschaft Berlin, 304 Js 1288/26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bei der Verteidigung im Verfahren wegen verbotenen Kraftfahrzeugrennens als Alleinfahrer und dem Arbeitsprodukt: Stellungnahme zum Renntatbestand und zur Verwertung der Dashcam.</w:t>
      </w:r>
    </w:p>
    <w:p>
      <w:pPr>
        <w:spacing w:after="120" w:line="259" w:lineRule="auto"/>
      </w:pPr>
      <w:r>
        <w:t>Zu trennen sind höchstmögliche Geschwindigkeit, grob verkehrswidriges Verhalten und die Absicht der Geschwindigkeitsmaximierung; das EDR-Gutachten trägt die Absicht nicht allein, entscheidend ist die Fahrweise vor der Kollision aus der Dashcam.</w:t>
      </w:r>
    </w:p>
    <w:p>
      <w:pPr>
        <w:pStyle w:val="ListBullet"/>
      </w:pPr>
      <w:r>
        <w:t>Normanker: Paragraf 315d StGB, Paragraf 142 StGB, Paragraf 69 StGB, Paragraf 111a StPO, Paragraf 244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Beschwerde gegen Fahrerlaubnismaßnahme prüfen, EDR-Rohdaten anfordern, Dashcam-Verwertung angreifen und frühe Schadenswiedergutmachung organisieren.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Tiergarten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Tiergarten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304 | Staatsanwaltschaft Berlin, 304 Js 1288/26 · 304 Js 1288/26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