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Tiergarten, Strafrichter Abteilung 304 | Staatsanwaltschaft Berlin, 304 Js 1288/26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Beschwerde gegen Fahrerlaubnismaßnahme prüfen, EDR-Rohdaten anfordern, Dashcam-Verwertung angreifen und frühe Schadenswiedergutmachung organisieren.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Berlin, 304 Js 1288/26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ist nicht möglich, weil die Dashcam-Rohdatei nicht in der Akte ist, die EDR-Kalibrierdaten fehlen und die Zeugin Wysocki nur zur Endphase des Geschehens aussagt.</w:t>
      </w:r>
    </w:p>
    <w:p>
      <w:pPr>
        <w:spacing w:after="120" w:line="259" w:lineRule="auto"/>
      </w:pPr>
      <w:r>
        <w:t>Nach Eingang von Rohdatei und Kalibrierdaten wird die Stellungnahme entlang der Fahrphasen aufgebaut und die Absichtsfrage von der reinen Geschwindigkeitsfrage getrennt.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kurz, damit zur Fahrweise vor der Kollision keine Version festgeschrieben wird, bevor die Dashcam-Rohdatei ausgewertet ist.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Tiergarten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Tiergarten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304 | Staatsanwaltschaft Berlin, 304 Js 1288/26 · 304 Js 1288/26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