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Vollgutachten: Verbraucherinsolvenz Reimers</w:t>
      </w:r>
    </w:p>
    <w:p>
      <w:pPr>
        <w:pStyle w:val="Heading2"/>
        <w:spacing w:before="120" w:after="60" w:line="259" w:lineRule="auto"/>
      </w:pPr>
      <w:r>
        <w:rPr>
          <w:rFonts w:ascii="Times New Roman" w:hAnsi="Times New Roman"/>
          <w:b/>
          <w:sz w:val="22"/>
        </w:rPr>
        <w:t>Auftrag und Aktenlage</w:t>
      </w:r>
    </w:p>
    <w:p>
      <w:pPr>
        <w:spacing w:line="259" w:lineRule="auto" w:after="60"/>
        <w:jc w:val="left"/>
      </w:pPr>
      <w:r>
        <w:t>Dieses Gutachten fasst die Akte des Herrn Matthias Reimers zusammen und führt die rechtliche Prüfung so weit aus, dass Bescheinigung, Eröffnungsantrag und die weiteren Gläubigerschreiben unmittelbar daraus entwickelt werden können. Herr Reimers war bis 2023 Minderheitsgesellschafter-Geschäftsführer der abgewickelten Reimers Licht &amp; Ton GmbH mit einem Geschäftsanteil von 20 Prozent und ist seit dem 12.09.2025 als technischer Koordinator einer Messebaufirma angestellt, netto rund 2.240,00 EUR. Zu klären sind vier Kernfragen: die Verfahrensart nach § 304 InsO trotz früherer Organstellung, die Vollständigkeit der Gläubigerliste mit sechs Hauptgläubigern über zusammen rund 83.640,00 EUR, die von Mahnwelt Inkasso behauptete und vom Finanzamt Bremen angedeutete Ausnahme von der Restschuldbefreiung nach § 302 InsO sowie die Tragfähigkeit des außergerichtlichen Schuldenbereinigungsplans vom 04.06.2026 mit 36 Monatsraten zu je 120,00 EUR und der Drittmittelzahlung der Schwester von 6.000,00 EUR. Maßgeblich sind §§ 304 bis 314 InsO für Verfahrensart und Planverfahren, § 305 InsO für Antrag und Bescheinigung, §§ 286 bis 303 InsO für die Restschuldbefreiung, §§ 4a bis 4d InsO für die Stundung der Verfahrenskosten und §§ 850 ff. ZPO für den Pfändungsschutz.</w:t>
      </w:r>
    </w:p>
    <w:p>
      <w:pPr>
        <w:pStyle w:val="Heading2"/>
        <w:spacing w:before="120" w:after="60" w:line="259" w:lineRule="auto"/>
      </w:pPr>
      <w:r>
        <w:rPr>
          <w:rFonts w:ascii="Times New Roman" w:hAnsi="Times New Roman"/>
          <w:b/>
          <w:sz w:val="22"/>
        </w:rPr>
        <w:t>Tatsächlicher Prüfrahmen</w:t>
      </w:r>
    </w:p>
    <w:p>
      <w:pPr>
        <w:spacing w:line="259" w:lineRule="auto" w:after="60"/>
        <w:jc w:val="left"/>
      </w:pPr>
      <w:r>
        <w:t>Die Akte enthält konkrete Widersprüche, die vor Antragstellung bereinigt werden müssen. Die Stellungnahme des Kreditsekretariats der Sparkasse Vorpommern (Az. 4471-KS-2026) nennt einen Torben Reimers, geboren am 14.03.1979, mit Nebeneinkünften als Fahrlehrer und eine Kontokorrentforderung von 38.420,17 EUR, während die übrige Akte durchgehend Matthias Reimers, geboren 1978, technischer Koordinator, betrifft; die Zuordnung dieses Schreibens ist aufzuklären, bevor die Forderung in ein Verzeichnis übernommen wird. Die Gläubigerliste führt die Bürgschaftsforderung der Sparkasse Weser mit 42.750,00 EUR, der Planvolltext in der Fassung vom 18.06.2026 dagegen eine Bremer Handelsbank AG mit 42.800,00 EUR, vorläufig berücksichtigt mit 37.500,00 EUR. Das Haushaltsbudget weist eine Warmmiete von 820,00 EUR und eine Planrate von 120,00 EUR aus, der Planvolltext eine Warmmiete von 920,00 EUR und Raten von 85,00 EUR; die Krankenkassenforderung erscheint einmal als BKK Hafen mit 6.120,00 EUR und einmal als Krankenkasse Weser Nord mit 7.430,20 EUR. Jedes Aktenstück wird deshalb mit drei Fragen gelesen: Welche Tatsache belegt es, etwa die Kündigung der Kontokorrentlinie am 14.02.2023, den Versand der Planunterlagen am 20.06.2026 oder den Fristablauf am 18.07.2026? Welche Rechtsfolge knüpft daran, etwa die Bescheinigung nach § 305 Abs. 1 Nr. 1 InsO oder der Widerspruch gegen ein Attribut nach § 302 InsO? Und welche Gegenbehauptung des jeweiligen Gläubigers ist realistisch?</w:t>
      </w:r>
    </w:p>
    <w:p>
      <w:pPr>
        <w:pStyle w:val="Heading2"/>
        <w:spacing w:before="120" w:after="60" w:line="259" w:lineRule="auto"/>
      </w:pPr>
      <w:r>
        <w:rPr>
          <w:rFonts w:ascii="Times New Roman" w:hAnsi="Times New Roman"/>
          <w:b/>
          <w:sz w:val="22"/>
        </w:rPr>
        <w:t>Normprogramm</w:t>
      </w:r>
    </w:p>
    <w:p>
      <w:pPr>
        <w:spacing w:line="259" w:lineRule="auto" w:after="60"/>
        <w:jc w:val="left"/>
      </w:pPr>
      <w:r>
        <w:t>Die Prüfung beginnt bei § 304 InsO. Herr Reimers übt keine selbstständige wirtschaftliche Tätigkeit mehr aus; als ehemaliger Selbstständiger steht ihm das Verbraucherinsolvenzverfahren nur offen, wenn seine Vermögensverhältnisse überschaubar sind und gegen ihn keine Forderungen aus Arbeitsverhältnissen bestehen. Beides ist nach der Gläubigerliste mit sechs Hauptgläubigern derzeit zu bejahen, muss aber gegenüber der BKK Hafen abgesichert werden, weil deren Beitragsforderung von 6.120,00 EUR Arbeitnehmeranteile aus der GmbH-Zeit enthalten könnte. Darauf bauen auf: der außergerichtliche Einigungsversuch mit der Bescheinigung einer geeigneten Stelle nach § 305 Abs. 1 Nr. 1 InsO, der Eröffnungsantrag mit den Verzeichnissen nach § 305 Abs. 1 Nr. 3 InsO, der Restschuldbefreiungsantrag mit Abtretungserklärung nach §§ 286, 287 InsO, der Stundungsantrag nach §§ 4a bis 4d InsO und flankierend der Kontopfändungsschutz nach §§ 850c, 899 ff. ZPO. Quer zu allem liegt § 302 Nr. 1 InsO: Das von Mahnwelt Inkasso zu den 18.420,00 EUR behauptete Deliktattribut, der Hinweis des Finanzamts Bremen auf eine Steuerstrafakte zu den 9.870,00 EUR Umsatzsteuer 2022/2023 und der Unterhaltsrückstand von 4.100,00 EUR gegenüber Clara Reimers entscheiden darüber, wie viel wirtschaftliche Entlastung die Restschuldbefreiung Herrn Reimers tatsächlich bringt.</w:t>
      </w:r>
    </w:p>
    <w:p>
      <w:pPr>
        <w:pStyle w:val="Heading2"/>
        <w:spacing w:before="120" w:after="60" w:line="259" w:lineRule="auto"/>
      </w:pPr>
      <w:r>
        <w:rPr>
          <w:rFonts w:ascii="Times New Roman" w:hAnsi="Times New Roman"/>
          <w:b/>
          <w:sz w:val="22"/>
        </w:rPr>
        <w:t>Subsumtion I: Ausgangsposition</w:t>
      </w:r>
    </w:p>
    <w:p>
      <w:pPr>
        <w:spacing w:line="259" w:lineRule="auto" w:after="60"/>
        <w:jc w:val="left"/>
      </w:pPr>
      <w:r>
        <w:t>Herr Reimers hat eine vertretbare, aber nicht risikolose Ausgangsposition. Für die Verbraucherinsolvenz sprechen die seit dem 28.06.2023 beendete gewerbliche Tätigkeit, die Festanstellung seit dem 12.09.2025, die überschaubare Struktur mit sechs Hauptgläubigern und das Fehlen bekannter Arbeitnehmerforderungen. Belegt sind die Lohnabrechnung Mai 2026 über netto 2.240,00 EUR, der Mietvertrag über 820,00 EUR warm und die Chronologie der GmbH-Abwicklung. Schwach ist die Beleglage bei den drei gefährlichsten Positionen. Für die Bürgschaftsforderung der Sparkasse Weser über 42.750,00 EUR fehlen Bürgschaftsurkunde, Kreditvertrag, Kündigung, Saldenaufstellung und die Abrechnung der verwerteten Licht- und Tontechnik. Für die 18.420,00 EUR von Mahnwelt Inkasso fehlen Titelkopien, Abtretungsnachweis und Zinsberechnung; das behauptete Deliktattribut stützt sich bisher allein auf ein Standardschreiben ohne Tatsachenvortrag. Für die 9.870,00 EUR Umsatzsteuer 2022/2023 fehlen die vollständigen Bescheide und der Steuerkontoauszug; einzelne Schätzungsbescheide sind mit Einspruch angegriffen. Ohne diese Unterlagen bleiben Forderungsverzeichnis und Planquote angreifbar.</w:t>
      </w:r>
    </w:p>
    <w:p>
      <w:pPr>
        <w:pStyle w:val="Heading2"/>
        <w:spacing w:line="259" w:lineRule="auto" w:after="60"/>
      </w:pPr>
      <w:r>
        <w:rPr>
          <w:rFonts w:ascii="Times New Roman" w:hAnsi="Times New Roman"/>
        </w:rPr>
        <w:t>Subsumtion II: Gegenseite und Behördenlogik</w:t>
      </w:r>
    </w:p>
    <w:p>
      <w:pPr>
        <w:spacing w:line="259" w:lineRule="auto" w:after="60"/>
        <w:jc w:val="left"/>
      </w:pPr>
      <w:r>
        <w:t>Die Gläubiger werden den Plan nicht insgesamt bestreiten, sondern an einzelnen Scharnieren ansetzen. Die Bank stellt die Quote als zu niedrig dar, verlangt Verdienstabrechnungen und beruft sich zusätzlich auf eine angeblich verspätete Offenlegung der GmbH-Krise im Jahr 2023 sowie einen Vermögensabfluss kurz vor der Abwicklung, legt dafür aber weder Urteil noch Strafbefehl noch eine konkrete Anspruchsgrundlage vor; Herr Reimers erklärt die Zahlung als in der Buchhaltung erfasste Vergütung eines Unterfrachtführers für eine Bühnenlogistik. Die Krankenkasse knüpft ihre Zustimmung an pünktliche laufende Beiträge und vollständige Aufnahme der Rückstände, lässt aber offen, ob sie Herrn Reimers persönlich oder die frühere GmbH in Anspruch nimmt. Das Finanzamt Bremen reagiert nicht und erteilt ohne Steuernummer und Vollmacht keine Auskunft. Mahnwelt Inkasso setzt das Deliktattribut als Druckmittel ein. Das Insolvenzgericht schließlich wird, wie der Nachforderungsentwurf zeigt, die Abgrenzung zur Regelinsolvenz, die ladungsfähigen Anschriften samt Benennung der Ursprungsgläubiger hinter dem Inkasso, die Bescheinigung im Original und die Übereinstimmung des eingereichten Plans mit der Versandfassung vom 18.06.2026 prüfen. Die Antwort muss deshalb nicht laut, sondern präzise sein: jedem Einwand wird ein Beleg, jeder Frist eine dokumentierte Reaktion gegenübergestellt.</w:t>
      </w:r>
    </w:p>
    <w:p>
      <w:pPr>
        <w:pStyle w:val="Heading2"/>
        <w:spacing w:line="259" w:lineRule="auto" w:after="60"/>
      </w:pPr>
      <w:r>
        <w:rPr>
          <w:rFonts w:ascii="Times New Roman" w:hAnsi="Times New Roman"/>
        </w:rPr>
        <w:t>Beweis- und Dokumentenstrategie</w:t>
      </w:r>
    </w:p>
    <w:p>
      <w:pPr>
        <w:spacing w:line="259" w:lineRule="auto" w:after="60"/>
        <w:jc w:val="left"/>
      </w:pPr>
      <w:r>
        <w:t>Für jede tragende Behauptung braucht die Akte einen Beleg, und die Nachforderungen sind bereits terminiert: Sicherheitenabrechnung und Bürgschaftsurkunden der Bank bis zum 03.07.2026, Steuerkontoauszug des Finanzamts Bremen bis zum 05.07.2026 unter Vorlage von Vollmacht und Steuernummer, Beitragskontoauszug und etwaiger Haftungsbescheid der Krankenkasse sowie vollständige Titelkopien und Zinsberechnung von Mahnwelt Inkasso. Der Zustelllog dokumentiert den Versand der Planunterlagen am 20.06.2026 per Einwurf-Einschreiben mit Frist bis zum 18.07.2026; er trägt später die Bescheinigung über das Scheitern des Einigungsversuchs. Die Zahlenwidersprüche der Akte – 42.750,00 EUR gegenüber 42.800,00 beziehungsweise 37.500,00 EUR bei der Bankforderung, Planrate 120,00 EUR gegenüber 85,00 EUR, Warmmiete 820,00 EUR gegenüber 920,00 EUR, BKK Hafen 6.120,00 EUR gegenüber Krankenkasse Weser Nord 7.430,20 EUR – werden in einem Vermerk aufgelöst, bevor Forderungsverzeichnis und Antrag erstellt werden; Plan, Verzeichnisse und Anlagen müssen dieselben Beträge tragen. Das behauptete Deliktattribut wird nur bei substantiiertem Tatsachenvortrag hingenommen; andernfalls wird ihm ausdrücklich widersprochen.</w:t>
      </w:r>
    </w:p>
    <w:p>
      <w:pPr>
        <w:pStyle w:val="Heading2"/>
        <w:spacing w:line="259" w:lineRule="auto" w:after="60"/>
      </w:pPr>
      <w:r>
        <w:rPr>
          <w:rFonts w:ascii="Times New Roman" w:hAnsi="Times New Roman"/>
        </w:rPr>
        <w:t>Taktische Bewertung</w:t>
      </w:r>
    </w:p>
    <w:p>
      <w:pPr>
        <w:spacing w:line="259" w:lineRule="auto" w:after="60"/>
        <w:jc w:val="left"/>
      </w:pPr>
      <w:r>
        <w:t>Der beste nächste Schritt ist eine gestufte Reaktion. Zuerst wird die Akte geschlossen: die vier terminierten Beleganforderungen abarbeiten, die Personenverwechslung im Schreiben der Sparkasse Vorpommern aufklären und das Pfändungsschutzkonto samt Bescheinigung für erhöhte Freibeträge sichern, damit die angekündigten Kontopfändungen weder die Warmmiete von 820,00 EUR noch den laufenden Unterhalt für die Tochter blockieren. Zweitens werden Bank, Finanzamt, Krankenkasse und Inkasso gesondert angeschrieben und zur Konkretisierung gezwungen: Sicherheitenabrechnung, Bescheidlage, Haftungsgrundlage, Titel- und Deliktsnachweis. Drittens wird nach Fristablauf am 18.07.2026 die Rücklaufbilanz gezogen: Lehnt die Sparkasse mit 42.750,00 EUR ab, hält also der größte Gläubiger mehr als die Hälfte der Gesamtforderungen, scheidet auch eine Zustimmungsersetzung nach § 309 InsO aus; dann wird die Bescheinigung nach § 305 Abs. 1 Nr. 1 InsO erstellt und der Eröffnungsantrag mit Restschuldbefreiungs- und Stundungsantrag gestellt. Die Drittmittelzahlung der Schwester von 6.000,00 EUR bleibt dabei ausdrücklich an die außergerichtliche Einigung gebunden und wird nicht als freies Vermögen dargestellt.</w:t>
      </w:r>
    </w:p>
    <w:p>
      <w:pPr>
        <w:pStyle w:val="Heading2"/>
        <w:spacing w:line="259" w:lineRule="auto" w:after="60"/>
      </w:pPr>
      <w:r>
        <w:rPr>
          <w:rFonts w:ascii="Times New Roman" w:hAnsi="Times New Roman"/>
        </w:rPr>
        <w:t>Ergebnis</w:t>
      </w:r>
    </w:p>
    <w:p>
      <w:pPr>
        <w:spacing w:line="259" w:lineRule="auto" w:after="60"/>
        <w:jc w:val="left"/>
      </w:pPr>
      <w:r>
        <w:t>Herr Reimers kann das Verbraucherinsolvenzverfahren ernsthaft vorbereiten. Die Verfahrensart nach § 304 InsO ist vertretbar begründbar, solange die Forderung der BKK Hafen keine Arbeitnehmerbezüge offenbart. Der Plan mit einer Gesamtmasse von 10.320,00 EUR aus 36 Monatsraten zu je 120,00 EUR und 6.000,00 EUR Drittmitteln ist wirtschaftlich darstellbar, steht und fällt aber mit der Zustimmung der Sparkasse als größter Gläubigerin. Antragsreif ist die Akte erst, wenn die vier Beleganforderungen erledigt, die Zahlenwidersprüche zwischen Gläubigerliste, Haushaltsbudget und Planvolltext bereinigt und die Attribute nach § 302 InsO von Inkasso, Finanzamt und Unterhaltsgläubigerin schriftlich geklärt sind. Ein scheinbar kleines Formproblem – eine fehlende ladungsfähige Anschrift, ein nicht benannter Ursprungsgläubiger hinter Mahnwelt Inkasso, eine nur in Kopie eingereichte Bescheinigung – würde sonst später den materiell richtigen Standpunkt gefährden, wie die gerichtliche Nachforderung mit ihrer Dreiwochenfrist zeigt.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