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sz w:val="21"/>
        </w:rPr>
        <w:t>Gericht der Europäischen Union</w:t>
        <w:br/>
        <w:t>Kanzlei</w:t>
        <w:br/>
        <w:t>Rue du Fort Niedergrünewald</w:t>
        <w:br/>
        <w:t>L-2925 Luxemburg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24.06.2026</w:t>
            </w:r>
          </w:p>
        </w:tc>
      </w:tr>
      <w:tr>
        <w:tc>
          <w:tcPr>
            <w:tcW w:type="dxa" w:w="1928"/>
            <w:vAlign w:val="top"/>
          </w:tcPr>
          <w:p>
            <w:pPr>
              <w:spacing w:after="20"/>
            </w:pPr>
            <w:r>
              <w:rPr>
                <w:rFonts w:ascii="Arial" w:hAnsi="Arial"/>
                <w:b/>
                <w:color w:val="5C6266"/>
                <w:sz w:val="17"/>
              </w:rPr>
              <w:t>Zeichen</w:t>
            </w:r>
          </w:p>
        </w:tc>
        <w:tc>
          <w:tcPr>
            <w:tcW w:type="dxa" w:w="7313"/>
            <w:vAlign w:val="top"/>
          </w:tcPr>
          <w:p>
            <w:pPr>
              <w:spacing w:after="20"/>
            </w:pPr>
            <w:r>
              <w:rPr>
                <w:rFonts w:ascii="Arial" w:hAnsi="Arial"/>
                <w:sz w:val="18"/>
              </w:rPr>
              <w:t>FW/EN 61-2026</w:t>
            </w:r>
          </w:p>
        </w:tc>
      </w:tr>
    </w:tbl>
    <w:p>
      <w:pPr>
        <w:spacing w:after="40"/>
      </w:pPr>
    </w:p>
    <w:p>
      <w:pPr>
        <w:spacing w:after="240"/>
      </w:pPr>
      <w:r>
        <w:rPr>
          <w:b/>
          <w:sz w:val="23"/>
        </w:rPr>
        <w:t>Klage der Lipsia Speichertechnik AG gegen die Europäische Kommission</w:t>
      </w:r>
    </w:p>
    <w:p>
      <w:r>
        <w:t>Namens und in Vollmacht der Klägerin erheben wir Klage gegen die Entscheidung C(2026) 2417 final vom 15.04.2026.</w:t>
      </w:r>
    </w:p>
    <w:p>
      <w:pPr>
        <w:pStyle w:val="Heading1"/>
      </w:pPr>
      <w:r>
        <w:t>1. Parteien und angegriffener Rechtsakt</w:t>
      </w:r>
    </w:p>
    <w:p>
      <w:pPr>
        <w:widowControl/>
        <w:jc w:val="both"/>
      </w:pPr>
      <w:r>
        <w:t>Klägerin ist die Lipsia Speichertechnik AG, Torgauer Straße 231, 04347 Leipzig, Deutschland, vertreten durch ihren Vorstand Nora Linden und Viktor Hagedorn. Beklagte ist die Europäische Kommission. Angegriffen wird die der Bundesrepublik Deutschland am 17.04.2026 zugestellte Entscheidung im Verfahren SA.118742 (2025/C), soweit sie die kommunale Garantie als unvereinbare Beihilfe einordnet und deren Rückforderung verlangt.</w:t>
      </w:r>
    </w:p>
    <w:p>
      <w:pPr>
        <w:pStyle w:val="Heading1"/>
      </w:pPr>
      <w:r>
        <w:t>2. Anträge</w:t>
      </w:r>
    </w:p>
    <w:p>
      <w:pPr>
        <w:widowControl/>
        <w:jc w:val="both"/>
      </w:pPr>
      <w:r>
        <w:t>Die Klägerin beantragt, die Entscheidung C(2026) 2417 final für nichtig zu erklären, soweit sie die Klägerin betrifft, der Kommission die Kosten aufzuerlegen und die in Anlage A.12 bezeichneten Geschäftsgeheimnisse gegenüber möglichen Streithelfern vertraulich zu behandeln.</w:t>
      </w:r>
    </w:p>
    <w:p>
      <w:pPr>
        <w:pStyle w:val="Heading1"/>
      </w:pPr>
      <w:r>
        <w:t>3. Erster Klagegrund</w:t>
      </w:r>
    </w:p>
    <w:p>
      <w:pPr>
        <w:widowControl/>
        <w:jc w:val="both"/>
      </w:pPr>
      <w:r>
        <w:t>Die Kommission habe den wirtschaftlichen Vorteil fehlerhaft bestimmt. Das im Verwaltungsverfahren vorgelegte Angebot der Elbe Privatbank vom 14.06.2023 sei nicht mit der garantierten Finanzierung vergleichbar gewesen. Laufzeit, Rang, Sicherheiten und Auszahlungsbedingungen wichen ab. Die Entscheidung setze gleichwohl die Differenz der Entgelte ohne weitere Anpassung an.</w:t>
      </w:r>
    </w:p>
    <w:p>
      <w:pPr>
        <w:pStyle w:val="Heading1"/>
      </w:pPr>
      <w:r>
        <w:t>4. Zweiter Klagegrund</w:t>
      </w:r>
    </w:p>
    <w:p>
      <w:pPr>
        <w:widowControl/>
        <w:jc w:val="both"/>
      </w:pPr>
      <w:r>
        <w:t>Die Klägerin rügt, dass die Kommission die Stellungnahme vom 19.11.2025 und das Gutachten der Wirtschaftsprüfungsgesellschaft Harenberg Consult nur auszugsweise würdige. Aus der Entscheidung sei nicht erkennbar, weshalb die dort berechnete marktübliche Prämie verworfen werde.</w:t>
      </w:r>
    </w:p>
    <w:p>
      <w:pPr>
        <w:pStyle w:val="Heading1"/>
      </w:pPr>
      <w:r>
        <w:t>5. Dritter Klagegrund</w:t>
      </w:r>
    </w:p>
    <w:p>
      <w:pPr>
        <w:widowControl/>
        <w:jc w:val="both"/>
      </w:pPr>
      <w:r>
        <w:t>Hilfsweise wird geltend gemacht, dass die Rückforderungsberechnung die bereits gezahlten Garantieentgelte und die Verringerung der ausstehenden Darlehenssumme nicht periodengerecht berücksichtige. Die von der Stadt übersandte vorläufige Berechnung weiche zudem von Anlage 3 der Entscheidung ab.</w:t>
      </w:r>
    </w:p>
    <w:p>
      <w:pPr>
        <w:pStyle w:val="Heading1"/>
      </w:pPr>
      <w:r>
        <w:t>6. Anlagen und Vertraulichkeit</w:t>
      </w:r>
    </w:p>
    <w:p>
      <w:pPr>
        <w:widowControl/>
        <w:jc w:val="both"/>
      </w:pPr>
      <w:r>
        <w:t>Die Anlagen A.1 bis A.14 werden über e-Curia eingereicht. Für A.7, A.9 und A.12 liegt jeweils eine nicht vertrauliche Fassung vor. Das Vorstandsprotokoll vom 20.04.2026 wird nur zur Begründung des Antrags auf vorläufigen Rechtsschutz verwendet und ist nicht Bestandteil dieser Klagefassung.</w:t>
      </w:r>
    </w:p>
    <w:p>
      <w:r>
        <w:t>Dr. Felix Westphal · Rechtsanwalt</w:t>
      </w:r>
    </w:p>
    <w:p>
      <w:pPr>
        <w:spacing w:after="0"/>
      </w:pPr>
      <w:r>
        <w:rPr>
          <w:b/>
        </w:rPr>
        <w:t>Dr. Elin Nørgaard</w:t>
      </w:r>
    </w:p>
    <w:p>
      <w:pPr>
        <w:spacing w:after="160"/>
      </w:pPr>
      <w:r>
        <w:t>Advokatin und Rechtsanwältin</w:t>
      </w:r>
    </w:p>
    <w:p>
      <w:r>
        <w:rPr>
          <w:b/>
        </w:rPr>
        <w:t>Anlagen</w:t>
      </w:r>
    </w:p>
    <w:p>
      <w:r>
        <w:t>1. A.1 Vollmacht</w:t>
      </w:r>
    </w:p>
    <w:p>
      <w:r>
        <w:t>2. A.2 Handelsregisterauszug</w:t>
      </w:r>
    </w:p>
    <w:p>
      <w:r>
        <w:t>3. A.3 angegriffene Entscheidung</w:t>
      </w:r>
    </w:p>
    <w:p>
      <w:r>
        <w:t>4. A.4 Zustellnachweis</w:t>
      </w:r>
    </w:p>
    <w:p>
      <w:r>
        <w:t>5. A.5 bis A.14 Finanzierungs- und Verfahrensunterlagen</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Westphal · Dierkes · Mohn Partnerschaft mbB  |  Rechtsanwälte · European Litigation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1C374C"/>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1C374C"/>
              <w:sz w:val="25"/>
            </w:rPr>
            <w:t>Westphal · Dierkes · Mohn Partnerschaft mbB</w:t>
          </w:r>
          <w:r>
            <w:rPr>
              <w:rFonts w:ascii="Arial" w:hAnsi="Arial"/>
              <w:color w:val="5C6266"/>
              <w:sz w:val="17"/>
            </w:rPr>
            <w:br/>
            <w:t>Rechtsanwälte · European Litigation</w:t>
          </w:r>
        </w:p>
      </w:tc>
      <w:tc>
        <w:tcPr>
          <w:tcW w:type="dxa" w:w="3742"/>
        </w:tcPr>
        <w:p>
          <w:pPr>
            <w:spacing w:after="0"/>
            <w:jc w:val="right"/>
          </w:pPr>
          <w:r>
            <w:rPr>
              <w:rFonts w:ascii="Arial" w:hAnsi="Arial"/>
              <w:color w:val="5C6266"/>
              <w:sz w:val="15"/>
            </w:rPr>
            <w:t>Taunusanlage 18 · 60325 Frankfurt am Main</w:t>
            <w:br/>
            <w:t>Telefon 069 348 19 0 · eu-litigation@westphal-counsel.de</w:t>
            <w:br/>
            <w:t>Partnerschaftsregister PR 2881 AG Frankfurt am Main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C374C"/>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C374C"/>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C37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