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  <w:r>
        <w:rPr>
          <w:rFonts w:ascii="Arial" w:hAnsi="Arial"/>
          <w:b/>
          <w:color w:val="01696F"/>
          <w:sz w:val="34"/>
        </w:rPr>
        <w:t>Bestätigung der Einreichung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20"/>
        <w:gridCol w:w="4620"/>
      </w:tblGrid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Einreichung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ECU-GC-2026-0626-184431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Zeitpunkt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26.06.2026, 18:44:31 Uhr Luxemburger Zeit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Einreicher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Dr. Elin Nørgaard für Lipsia Speichertechnik AG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Dokumentart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Klage gemäß Artikel 263 AEUV</w:t>
            </w:r>
          </w:p>
        </w:tc>
      </w:tr>
    </w:tbl>
    <w:p>
      <w:pPr>
        <w:spacing w:after="40"/>
      </w:pPr>
    </w:p>
    <w:p>
      <w:pPr>
        <w:pStyle w:val="Heading1"/>
      </w:pPr>
      <w:r>
        <w:t>1. Übertragene Dateien</w:t>
      </w:r>
    </w:p>
    <w:p>
      <w:pPr>
        <w:widowControl/>
        <w:jc w:val="both"/>
      </w:pPr>
      <w:r>
        <w:t>Die Übertragung umfasste die Klageschrift mit 48 Seiten, das Anlagenverzeichnis und vierzehn Anlagen. Die technische Prüfung hat sämtliche Dateien angenommen. Der für die Klageschrift berechnete SHA-256-Wert beginnt mit 8F2C7A91D4E6. Die vollständige Prüfsumme ist im elektronischen Konto abrufbar.</w:t>
      </w:r>
    </w:p>
    <w:p>
      <w:pPr>
        <w:pStyle w:val="Heading1"/>
      </w:pPr>
      <w:r>
        <w:t>2. Vorläufige Registrierung</w:t>
      </w:r>
    </w:p>
    <w:p>
      <w:pPr>
        <w:widowControl/>
        <w:jc w:val="both"/>
      </w:pPr>
      <w:r>
        <w:t>Die Einreichung wurde unter dem vorläufigen Zeichen T-PRE-18842/26 erfasst. Diese Bestätigung besagt, dass Dateien technisch eingegangen sind. Sie enthält keine Entscheidung über Zulässigkeit, Fristwahrung, Vollmacht, Verfahrenssprache oder die Ordnungsmäßigkeit der Anlagen.</w:t>
      </w:r>
    </w:p>
    <w:p>
      <w:pPr>
        <w:pStyle w:val="Heading1"/>
      </w:pPr>
      <w:r>
        <w:t>3. Zustellungen</w:t>
      </w:r>
    </w:p>
    <w:p>
      <w:pPr>
        <w:widowControl/>
        <w:jc w:val="both"/>
      </w:pPr>
      <w:r>
        <w:t>Weitere Nachrichten der Kanzlei werden im e-Curia-Konto der Vertreter bereitgestellt. Der Zeitpunkt der tatsächlichen oder vermuteten Zustellung wird dort für jedes Dokument gesondert ausgewiesen.</w:t>
      </w:r>
    </w:p>
    <w:p/>
    <w:p>
      <w:r>
        <w:rPr>
          <w:b/>
        </w:rPr>
        <w:t>Automatisch erzeugte Eingangsbestätigung</w:t>
      </w:r>
    </w:p>
    <w:p>
      <w:r>
        <w:t>Kanzlei des Gerichts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32" w:right="1276" w:bottom="1247" w:left="1389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C6266"/>
        <w:sz w:val="15"/>
      </w:rPr>
      <w:t xml:space="preserve">Gericht der Europäischen Union  |  Kanzlei · e-Curia  |  Seite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01696F"/>
      </w:pBdr>
    </w:pPr>
  </w:p>
  <w:tbl>
    <w:tblPr>
      <w:tblW w:type="auto" w:w="0"/>
      <w:jc w:val="left"/>
      <w:tblLayout w:type="fixed"/>
      <w:tblLook w:firstColumn="1" w:firstRow="1" w:lastColumn="0" w:lastRow="0" w:noHBand="0" w:noVBand="1" w:val="04A0"/>
    </w:tblPr>
    <w:tblGrid>
      <w:gridCol w:w="5499"/>
      <w:gridCol w:w="3742"/>
    </w:tblGrid>
    <w:tr>
      <w:tc>
        <w:tcPr>
          <w:tcW w:type="dxa" w:w="5499"/>
        </w:tcPr>
        <w:p>
          <w:pPr>
            <w:spacing w:after="0"/>
          </w:pPr>
          <w:r>
            <w:rPr>
              <w:rFonts w:ascii="Arial" w:hAnsi="Arial"/>
              <w:b/>
              <w:color w:val="01696F"/>
              <w:sz w:val="25"/>
            </w:rPr>
            <w:t>Gericht der Europäischen Union</w:t>
          </w:r>
          <w:r>
            <w:rPr>
              <w:rFonts w:ascii="Arial" w:hAnsi="Arial"/>
              <w:color w:val="5C6266"/>
              <w:sz w:val="17"/>
            </w:rPr>
            <w:br/>
            <w:t>Kanzlei · e-Curia</w:t>
          </w:r>
        </w:p>
      </w:tc>
      <w:tc>
        <w:tcPr>
          <w:tcW w:type="dxa" w:w="3742"/>
        </w:tcPr>
        <w:p>
          <w:pPr>
            <w:spacing w:after="0"/>
            <w:jc w:val="right"/>
          </w:pPr>
          <w:r>
            <w:rPr>
              <w:rFonts w:ascii="Arial" w:hAnsi="Arial"/>
              <w:color w:val="5C6266"/>
              <w:sz w:val="15"/>
            </w:rPr>
            <w:t>Rue du Fort Niedergrünewald · L-2925 Luxemburg</w:t>
            <w:br/>
            <w:t>curia.europa.eu · Technischer Dienst e-Curia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