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rFonts w:ascii="Times New Roman" w:hAnsi="Times New Roman"/>
          <w:sz w:val="21"/>
        </w:rPr>
        <w:t>Brenner Präzisionsguss GmbH</w:t>
        <w:br/>
        <w:t>Herrn Viktor Brenner</w:t>
        <w:br/>
        <w:t>Magirusstraße 28</w:t>
        <w:br/>
        <w:t>89077 Ulm</w:t>
      </w:r>
    </w:p>
    <w:tbl>
      <w:tblPr>
        <w:tblW w:type="auto" w:w="0"/>
        <w:jc w:val="left"/>
        <w:tblLayout w:type="fixed"/>
        <w:tblLook w:firstColumn="1" w:firstRow="1" w:lastColumn="0" w:lastRow="0" w:noHBand="0" w:noVBand="1" w:val="04A0"/>
      </w:tblPr>
      <w:tblGrid>
        <w:gridCol w:w="4620"/>
        <w:gridCol w:w="4620"/>
      </w:tblGrid>
      <w:tr>
        <w:tc>
          <w:tcPr>
            <w:tcW w:type="dxa" w:w="1928"/>
            <w:vAlign w:val="top"/>
          </w:tcPr>
          <w:p>
            <w:pPr>
              <w:spacing w:after="20"/>
            </w:pPr>
            <w:r>
              <w:rPr>
                <w:rFonts w:ascii="Arial" w:hAnsi="Arial"/>
                <w:b/>
                <w:color w:val="5C6266"/>
                <w:sz w:val="17"/>
              </w:rPr>
              <w:t>Datum</w:t>
            </w:r>
          </w:p>
        </w:tc>
        <w:tc>
          <w:tcPr>
            <w:tcW w:type="dxa" w:w="7313"/>
            <w:vAlign w:val="top"/>
          </w:tcPr>
          <w:p>
            <w:pPr>
              <w:spacing w:after="20"/>
            </w:pPr>
            <w:r>
              <w:rPr>
                <w:rFonts w:ascii="Arial" w:hAnsi="Arial"/>
                <w:sz w:val="18"/>
              </w:rPr>
              <w:t>30.04.2026</w:t>
            </w:r>
          </w:p>
        </w:tc>
      </w:tr>
      <w:tr>
        <w:tc>
          <w:tcPr>
            <w:tcW w:type="dxa" w:w="1928"/>
            <w:vAlign w:val="top"/>
          </w:tcPr>
          <w:p>
            <w:pPr>
              <w:spacing w:after="20"/>
            </w:pPr>
            <w:r>
              <w:rPr>
                <w:rFonts w:ascii="Arial" w:hAnsi="Arial"/>
                <w:b/>
                <w:color w:val="5C6266"/>
                <w:sz w:val="17"/>
              </w:rPr>
              <w:t>Zeichen</w:t>
            </w:r>
          </w:p>
        </w:tc>
        <w:tc>
          <w:tcPr>
            <w:tcW w:type="dxa" w:w="7313"/>
            <w:vAlign w:val="top"/>
          </w:tcPr>
          <w:p>
            <w:pPr>
              <w:spacing w:after="20"/>
            </w:pPr>
            <w:r>
              <w:rPr>
                <w:rFonts w:ascii="Arial" w:hAnsi="Arial"/>
                <w:sz w:val="18"/>
              </w:rPr>
              <w:t>K 4188-77 / CS</w:t>
            </w:r>
          </w:p>
        </w:tc>
      </w:tr>
    </w:tbl>
    <w:p>
      <w:pPr>
        <w:spacing w:after="40"/>
      </w:pPr>
    </w:p>
    <w:p>
      <w:pPr>
        <w:spacing w:after="240"/>
      </w:pPr>
      <w:r>
        <w:rPr>
          <w:b/>
          <w:sz w:val="23"/>
        </w:rPr>
        <w:t>Konsortiallinie 2024/188 – Liquiditätsauflage zum 31.05.2026</w:t>
      </w:r>
    </w:p>
    <w:p>
      <w:r>
        <w:t>Sehr geehrter Herr Brenner,</w:t>
      </w:r>
    </w:p>
    <w:p>
      <w:pPr>
        <w:pStyle w:val="Heading1"/>
      </w:pPr>
      <w:r>
        <w:t>1. Auslastung</w:t>
      </w:r>
    </w:p>
    <w:p>
      <w:pPr>
        <w:widowControl/>
        <w:jc w:val="both"/>
      </w:pPr>
      <w:r>
        <w:t>Die Betriebsmittellinie von 6000000 EUR war am 28.04.2026 mit 5748810.44 EUR in Anspruch genommen. Die im Vertrag vereinbarte Mindestliquidität wurde in den Kalenderwochen 14 bis 17 dreimal unterschritten. Zugleich ist der Zahlungseingang des Kunden NordRail Systems GmbH über 2180000 EUR weiterhin offen.</w:t>
      </w:r>
    </w:p>
    <w:p>
      <w:pPr>
        <w:pStyle w:val="Heading1"/>
      </w:pPr>
      <w:r>
        <w:t>2. Auflage</w:t>
      </w:r>
    </w:p>
    <w:p>
      <w:pPr>
        <w:widowControl/>
        <w:jc w:val="both"/>
      </w:pPr>
      <w:r>
        <w:t>Das Konsortium erwartet bis zum 31.05.2026 einen nachgewiesenen Eigenkapitalzufluss von mindestens 1500000 EUR oder eine wirtschaftlich gleichwertige, nachrangige Finanzierung. Ohne fristgerechten Nachweis wird die weitere Ziehung unter dem Investitionsrahmen für die Formanlage G-7 ausgesetzt.</w:t>
      </w:r>
    </w:p>
    <w:p>
      <w:pPr>
        <w:pStyle w:val="Heading1"/>
      </w:pPr>
      <w:r>
        <w:t>3. Unterlagen</w:t>
      </w:r>
    </w:p>
    <w:p>
      <w:pPr>
        <w:widowControl/>
        <w:jc w:val="both"/>
      </w:pPr>
      <w:r>
        <w:t>Bitte reichen Sie Gesellschafterbeschluss, Übernahmeerklärungen, Zahlungsnachweise und aktualisierte Zwölf-Wochen-Planung ein. Eine Finanzierung durch ein nahestehendes Unternehmen wird nur berücksichtigt, wenn Konditionen, Rang und Rückzahlung transparent dokumentiert sind.</w:t>
      </w:r>
    </w:p>
    <w:p>
      <w:r>
        <w:t>Mit freundlichen Grüßen</w:t>
      </w:r>
    </w:p>
    <w:p>
      <w:pPr>
        <w:spacing w:after="0"/>
      </w:pPr>
      <w:r>
        <w:rPr>
          <w:b/>
        </w:rPr>
        <w:t>Carolin Sauter</w:t>
      </w:r>
    </w:p>
    <w:p>
      <w:pPr>
        <w:spacing w:after="160"/>
      </w:pPr>
      <w:r>
        <w:t>Direktorin Firmenkunden</w:t>
      </w:r>
    </w:p>
    <w:p>
      <w:r>
        <w:rPr>
          <w:b/>
        </w:rPr>
        <w:t>Anlagen</w:t>
      </w:r>
    </w:p>
    <w:p>
      <w:r>
        <w:t>1. Covenant-Auswertung April 2026</w:t>
      </w:r>
    </w:p>
    <w:sectPr w:rsidR="00FC693F" w:rsidRPr="0006063C" w:rsidSect="00034616">
      <w:headerReference w:type="default" r:id="rId9"/>
      <w:footerReference w:type="default" r:id="rId10"/>
      <w:pgSz w:w="11906" w:h="16838"/>
      <w:pgMar w:top="1332" w:right="1276" w:bottom="1247" w:left="1389"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266"/>
        <w:sz w:val="15"/>
      </w:rPr>
      <w:t xml:space="preserve">Alb-Donau Bank AG  |  Firmenkunden Süd · Kreditmanagement  |  Seite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1C374C"/>
      </w:pBdr>
    </w:pPr>
  </w:p>
  <w:tbl>
    <w:tblPr>
      <w:tblW w:type="auto" w:w="0"/>
      <w:jc w:val="left"/>
      <w:tblLayout w:type="fixed"/>
      <w:tblLook w:firstColumn="1" w:firstRow="1" w:lastColumn="0" w:lastRow="0" w:noHBand="0" w:noVBand="1" w:val="04A0"/>
    </w:tblPr>
    <w:tblGrid>
      <w:gridCol w:w="5499"/>
      <w:gridCol w:w="3742"/>
    </w:tblGrid>
    <w:tr>
      <w:tc>
        <w:tcPr>
          <w:tcW w:type="dxa" w:w="5499"/>
        </w:tcPr>
        <w:p>
          <w:pPr>
            <w:spacing w:after="0"/>
          </w:pPr>
          <w:r>
            <w:rPr>
              <w:rFonts w:ascii="Arial" w:hAnsi="Arial"/>
              <w:b/>
              <w:color w:val="1C374C"/>
              <w:sz w:val="25"/>
            </w:rPr>
            <w:t>Alb-Donau Bank AG</w:t>
          </w:r>
          <w:r>
            <w:rPr>
              <w:rFonts w:ascii="Arial" w:hAnsi="Arial"/>
              <w:color w:val="5C6266"/>
              <w:sz w:val="17"/>
            </w:rPr>
            <w:br/>
            <w:t>Firmenkunden Süd · Kreditmanagement</w:t>
          </w:r>
        </w:p>
      </w:tc>
      <w:tc>
        <w:tcPr>
          <w:tcW w:type="dxa" w:w="3742"/>
        </w:tcPr>
        <w:p>
          <w:pPr>
            <w:spacing w:after="0"/>
            <w:jc w:val="right"/>
          </w:pPr>
          <w:r>
            <w:rPr>
              <w:rFonts w:ascii="Arial" w:hAnsi="Arial"/>
              <w:color w:val="5C6266"/>
              <w:sz w:val="15"/>
            </w:rPr>
            <w:t>Olgastraße 83 · 89073 Ulm</w:t>
            <w:br/>
            <w:t>Telefon 0731 141 0 · firmenkunden@alb-donau-bank.de</w:t>
            <w:br/>
            <w:t>BIC ALBDDE6UXXX</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1C374C"/>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1C374C"/>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1C374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