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Landgericht Ulm</w:t>
        <w:br/>
        <w:t>Kammer für Handelssachen</w:t>
        <w:br/>
        <w:t>Olgastraße 106</w:t>
        <w:br/>
        <w:t>89073 Ulm</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29.05.2026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MR/AB 118/26</w:t>
            </w:r>
          </w:p>
        </w:tc>
      </w:tr>
    </w:tbl>
    <w:p>
      <w:pPr>
        <w:spacing w:after="40"/>
      </w:pPr>
    </w:p>
    <w:p>
      <w:pPr>
        <w:spacing w:after="240"/>
      </w:pPr>
      <w:r>
        <w:rPr>
          <w:b/>
          <w:sz w:val="23"/>
        </w:rPr>
        <w:t>Dr. Anna Brenner gegen Brenner Präzisionsguss GmbH – Antrag auf Erlass einer einstweiligen Verfügung</w:t>
      </w:r>
    </w:p>
    <w:p>
      <w:r>
        <w:t>Namens und in Vollmacht der Antragstellerin beantragen wir,</w:t>
      </w:r>
    </w:p>
    <w:p>
      <w:pPr>
        <w:pStyle w:val="Heading1"/>
      </w:pPr>
      <w:r>
        <w:t>1. Anträge</w:t>
      </w:r>
    </w:p>
    <w:p>
      <w:pPr>
        <w:widowControl/>
        <w:jc w:val="both"/>
      </w:pPr>
      <w:r>
        <w:t>der Antragsgegnerin bis zu einer Entscheidung in der Hauptsache zu untersagen, die am 21.05.2026 beschlossene Kapitalerhöhung zum Handelsregister anzumelden oder weiterzuverfolgen; hilfsweise, der Antragsgegnerin aufzugeben, eine Anmeldung nur unter Mitteilung des anhängigen Streits vorzunehmen.</w:t>
      </w:r>
    </w:p>
    <w:p>
      <w:pPr>
        <w:pStyle w:val="Heading1"/>
      </w:pPr>
      <w:r>
        <w:t>2. Beteiligungen und Beschluss</w:t>
      </w:r>
    </w:p>
    <w:p>
      <w:pPr>
        <w:widowControl/>
        <w:jc w:val="both"/>
      </w:pPr>
      <w:r>
        <w:t>Die Antragstellerin hält 35 Prozent des Stammkapitals. Die übrigen Stimmen entfallen auf Viktor Brenner und die von seiner Mutter vertretene Familienkontor Brenner KG. Der Beschluss erhöht das Stammkapital um 1500000 EUR und weist die gesamte Übernahme der Familienkontor Brenner KG zu. Die Antragstellerin erhielt sechs Tage Zeit, ohne dass ihr ein konkretes anteiliges Bezugsangebot unterbreitet wurde.</w:t>
      </w:r>
    </w:p>
    <w:p>
      <w:pPr>
        <w:pStyle w:val="Heading1"/>
      </w:pPr>
      <w:r>
        <w:t>3. Informationslage</w:t>
      </w:r>
    </w:p>
    <w:p>
      <w:pPr>
        <w:widowControl/>
        <w:jc w:val="both"/>
      </w:pPr>
      <w:r>
        <w:t>Trotz wiederholter Nachfrage waren im Datenraum weder die vollständige Debitorenliste noch der NordRail-Vertrag oder ein Unternehmenswert verfügbar. Der Bankbrief verlangt einen Eigenkapitalzufluss, schreibt aber weder Übernehmer noch gesellschaftsrechtliche Ausgestaltung vor. Die Antragstellerin hat am 22.05.2026 schriftlich erklärt, bis zu 300000 EUR kurzfristig und weitere Mittel nach Prüfung aufzubringen.</w:t>
      </w:r>
    </w:p>
    <w:p>
      <w:pPr>
        <w:pStyle w:val="Heading1"/>
      </w:pPr>
      <w:r>
        <w:t>4. Dringlichkeit</w:t>
      </w:r>
    </w:p>
    <w:p>
      <w:pPr>
        <w:widowControl/>
        <w:jc w:val="both"/>
      </w:pPr>
      <w:r>
        <w:t>Das Notariat hat die Anmeldung zwar noch nicht eingereicht, fordert aber eine Entscheidung der Gesellschaft bis zum 01.06.2026. Nach Eintragung und Einzahlung würden sich Beteiligungsquoten und Einflussmöglichkeiten der Antragstellerin erheblich verändern. Eine Schutzschrift der Gesellschaft ist der Antragstellerin nicht bekannt.</w:t>
      </w:r>
    </w:p>
    <w:p>
      <w:r>
        <w:t>Dr. Malte Rupp</w:t>
      </w:r>
    </w:p>
    <w:p>
      <w:pPr>
        <w:spacing w:after="0"/>
      </w:pPr>
      <w:r>
        <w:rPr>
          <w:b/>
        </w:rPr>
        <w:t>Rechtsanwalt</w:t>
      </w:r>
    </w:p>
    <w:p>
      <w:pPr>
        <w:spacing w:after="160"/>
      </w:pPr>
      <w:r>
        <w:t>Fachanwalt für Handels- und Gesellschaftsrecht</w:t>
      </w:r>
    </w:p>
    <w:p>
      <w:r>
        <w:rPr>
          <w:b/>
        </w:rPr>
        <w:t>Anlagen</w:t>
      </w:r>
    </w:p>
    <w:p>
      <w:r>
        <w:t>1. Gesellschaftsvertrag</w:t>
      </w:r>
    </w:p>
    <w:p>
      <w:r>
        <w:t>2. Einladung</w:t>
      </w:r>
    </w:p>
    <w:p>
      <w:r>
        <w:t>3. Bankbrief</w:t>
      </w:r>
    </w:p>
    <w:p>
      <w:r>
        <w:t>4. Protokoll</w:t>
      </w:r>
    </w:p>
    <w:p>
      <w:r>
        <w:t>5. E-Mail-Verkehr</w:t>
      </w:r>
    </w:p>
    <w:p>
      <w:r>
        <w:t>6. eidesstattliche Versicherung Dr. Anna Brenner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Rupp · Eberlein Rechtsanwälte  |  Gesellschaftsrecht · Prozessführung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Rupp · Eberlein Rechtsanwälte</w:t>
          </w:r>
          <w:r>
            <w:rPr>
              <w:rFonts w:ascii="Arial" w:hAnsi="Arial"/>
              <w:color w:val="5C6266"/>
              <w:sz w:val="17"/>
            </w:rPr>
            <w:br/>
            <w:t>Gesellschaftsrecht · Prozessführung</w:t>
          </w:r>
        </w:p>
      </w:tc>
      <w:tc>
        <w:tcPr>
          <w:tcW w:type="dxa" w:w="3742"/>
        </w:tcPr>
        <w:p>
          <w:pPr>
            <w:spacing w:after="0"/>
            <w:jc w:val="right"/>
          </w:pPr>
          <w:r>
            <w:rPr>
              <w:rFonts w:ascii="Arial" w:hAnsi="Arial"/>
              <w:color w:val="5C6266"/>
              <w:sz w:val="15"/>
            </w:rPr>
            <w:t>Bahnhofstraße 17 · 89073 Ulm</w:t>
            <w:br/>
            <w:t>Telefon 0731 602 18 0 · kanzlei@rupp-eberlein.de</w:t>
            <w:br/>
            <w:t>Anderkonto IBAN DE72 6305 0000 0088 4112 19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