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Niederschrift der 18. Sitzung des Prüfungsausschusses</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22.05.2025, 09:00 bis 11:46 Uhr</w:t>
            </w:r>
          </w:p>
        </w:tc>
      </w:tr>
      <w:tr>
        <w:tc>
          <w:tcPr>
            <w:tcW w:type="dxa" w:w="1928"/>
            <w:vAlign w:val="top"/>
          </w:tcPr>
          <w:p>
            <w:pPr>
              <w:spacing w:after="20"/>
            </w:pPr>
            <w:r>
              <w:rPr>
                <w:rFonts w:ascii="Arial" w:hAnsi="Arial"/>
                <w:b/>
                <w:color w:val="5C6266"/>
                <w:sz w:val="17"/>
              </w:rPr>
              <w:t>Ort</w:t>
            </w:r>
          </w:p>
        </w:tc>
        <w:tc>
          <w:tcPr>
            <w:tcW w:type="dxa" w:w="7313"/>
            <w:vAlign w:val="top"/>
          </w:tcPr>
          <w:p>
            <w:pPr>
              <w:spacing w:after="20"/>
            </w:pPr>
            <w:r>
              <w:rPr>
                <w:rFonts w:ascii="Arial" w:hAnsi="Arial"/>
                <w:sz w:val="18"/>
              </w:rPr>
              <w:t>Hamburg, Verwaltungsgebäude Speicherstadt</w:t>
            </w:r>
          </w:p>
        </w:tc>
      </w:tr>
      <w:tr>
        <w:tc>
          <w:tcPr>
            <w:tcW w:type="dxa" w:w="1928"/>
            <w:vAlign w:val="top"/>
          </w:tcPr>
          <w:p>
            <w:pPr>
              <w:spacing w:after="20"/>
            </w:pPr>
            <w:r>
              <w:rPr>
                <w:rFonts w:ascii="Arial" w:hAnsi="Arial"/>
                <w:b/>
                <w:color w:val="5C6266"/>
                <w:sz w:val="17"/>
              </w:rPr>
              <w:t>Vorsitz</w:t>
            </w:r>
          </w:p>
        </w:tc>
        <w:tc>
          <w:tcPr>
            <w:tcW w:type="dxa" w:w="7313"/>
            <w:vAlign w:val="top"/>
          </w:tcPr>
          <w:p>
            <w:pPr>
              <w:spacing w:after="20"/>
            </w:pPr>
            <w:r>
              <w:rPr>
                <w:rFonts w:ascii="Arial" w:hAnsi="Arial"/>
                <w:sz w:val="18"/>
              </w:rPr>
              <w:t>Dr. Hilde Mahler</w:t>
            </w:r>
          </w:p>
        </w:tc>
      </w:tr>
      <w:tr>
        <w:tc>
          <w:tcPr>
            <w:tcW w:type="dxa" w:w="1928"/>
            <w:vAlign w:val="top"/>
          </w:tcPr>
          <w:p>
            <w:pPr>
              <w:spacing w:after="20"/>
            </w:pPr>
            <w:r>
              <w:rPr>
                <w:rFonts w:ascii="Arial" w:hAnsi="Arial"/>
                <w:b/>
                <w:color w:val="5C6266"/>
                <w:sz w:val="17"/>
              </w:rPr>
              <w:t>Protokoll</w:t>
            </w:r>
          </w:p>
        </w:tc>
        <w:tc>
          <w:tcPr>
            <w:tcW w:type="dxa" w:w="7313"/>
            <w:vAlign w:val="top"/>
          </w:tcPr>
          <w:p>
            <w:pPr>
              <w:spacing w:after="20"/>
            </w:pPr>
            <w:r>
              <w:rPr>
                <w:rFonts w:ascii="Arial" w:hAnsi="Arial"/>
                <w:sz w:val="18"/>
              </w:rPr>
              <w:t>Svenja Karthaus</w:t>
            </w:r>
          </w:p>
        </w:tc>
      </w:tr>
    </w:tbl>
    <w:p>
      <w:pPr>
        <w:spacing w:after="40"/>
      </w:pPr>
    </w:p>
    <w:p>
      <w:pPr>
        <w:pStyle w:val="Heading1"/>
      </w:pPr>
      <w:r>
        <w:t>1. Abschlussprüfung 2025</w:t>
      </w:r>
    </w:p>
    <w:p>
      <w:pPr>
        <w:widowControl/>
        <w:jc w:val="both"/>
      </w:pPr>
      <w:r>
        <w:t>Der Ausschuss empfiehlt dem Aufsichtsrat, die Hanseatische Revision Partnerschaft mbB nach der Wahl durch die Hauptversammlung zu beauftragen. Dr. Clausen stellt Team, Zeitplan und Schwerpunkte vor. Der Ausschuss verlangt einen gesonderten Bericht zu Projektkalkulationen, Covenants der Anleihe und dem Konsolidierungsprozess der Auslandstöchter.</w:t>
      </w:r>
    </w:p>
    <w:p>
      <w:pPr>
        <w:pStyle w:val="Heading1"/>
      </w:pPr>
      <w:r>
        <w:t>2. Steuer-Compliance</w:t>
      </w:r>
    </w:p>
    <w:p>
      <w:pPr>
        <w:widowControl/>
        <w:jc w:val="both"/>
      </w:pPr>
      <w:r>
        <w:t>Der Ausschuss genehmigt für 2025 wiederkehrende Steuer-Compliance-Leistungen bis zu einem Honorar von 140000 EUR. Die Leistungen umfassen Steuererklärungen und die Abstimmung latenter Steuern. Gestaltungsberatung und Vertretung in wesentlichen Streitverfahren sind nicht umfasst.</w:t>
      </w:r>
    </w:p>
    <w:p>
      <w:pPr>
        <w:pStyle w:val="Heading1"/>
      </w:pPr>
      <w:r>
        <w:t>3. Konsolidierungssystem</w:t>
      </w:r>
    </w:p>
    <w:p>
      <w:pPr>
        <w:widowControl/>
        <w:jc w:val="both"/>
      </w:pPr>
      <w:r>
        <w:t>Finanzvorstand Dr. Martin Veer berichtet über die Einführung von OrbisCon durch Hanseatic Advisory GmbH bei Baltic Rotor Services. Dr. Mahler fragt, ob das Projekt die spätere Prüfung eigener Arbeiten berührt. Dr. Clausen erklärt, die Tochtergesellschaft treffe sämtliche Konfigurations- und Freigabeentscheidungen; das Prüfungsteam werde die Implementierung nicht übernehmen. Der Ausschuss bittet um eine schriftliche Abgrenzung vor Produktivsetzung.</w:t>
      </w:r>
    </w:p>
    <w:p>
      <w:pPr>
        <w:pStyle w:val="Heading1"/>
      </w:pPr>
      <w:r>
        <w:t>4. Weitere Beratung</w:t>
      </w:r>
    </w:p>
    <w:p>
      <w:pPr>
        <w:widowControl/>
        <w:jc w:val="both"/>
      </w:pPr>
      <w:r>
        <w:t>Eine gesonderte Beschlussfassung zu Erweiterungsmodulen findet in der Sitzung nicht statt. Dr. Veer soll bei wesentlichen Änderungen erneut berichten.</w:t>
      </w:r>
    </w:p>
    <w:p/>
    <w:p>
      <w:r>
        <w:rPr>
          <w:b/>
        </w:rPr>
        <w:t>Dr. Hilde Mahler</w:t>
      </w:r>
    </w:p>
    <w:p>
      <w:r>
        <w:t>Vorsitzende des Prüfungsausschusses</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Nordwerft Energieanlagen AG  |  Aufsichtsrat · Prüfungsausschuss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Nordwerft Energieanlagen AG</w:t>
          </w:r>
          <w:r>
            <w:rPr>
              <w:rFonts w:ascii="Arial" w:hAnsi="Arial"/>
              <w:color w:val="5C6266"/>
              <w:sz w:val="17"/>
            </w:rPr>
            <w:br/>
            <w:t>Aufsichtsrat · Prüfungsausschuss</w:t>
          </w:r>
        </w:p>
      </w:tc>
      <w:tc>
        <w:tcPr>
          <w:tcW w:type="dxa" w:w="3742"/>
        </w:tcPr>
        <w:p>
          <w:pPr>
            <w:spacing w:after="0"/>
            <w:jc w:val="right"/>
          </w:pPr>
          <w:r>
            <w:rPr>
              <w:rFonts w:ascii="Arial" w:hAnsi="Arial"/>
              <w:color w:val="5C6266"/>
              <w:sz w:val="15"/>
            </w:rPr>
            <w:t>Australiastraße 51 · 20457 Hamburg</w:t>
            <w:br/>
            <w:t>Telefon 040 771 82 0 · governance@nordwerft-energie.de</w:t>
            <w:br/>
            <w:t>HRB 188241 AG Hamburg · ISIN DE000NW00018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