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Hanseatische Revision Partnerschaft mbB</w:t>
        <w:br/>
        <w:t>z. Hd. Dr. Henrik Clausen</w:t>
        <w:br/>
        <w:t>Ballindamm 39</w:t>
        <w:br/>
        <w:t>20095 Hamburg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28.05.2026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APAS-I 4-26/0318</w:t>
            </w:r>
          </w:p>
        </w:tc>
      </w:tr>
    </w:tbl>
    <w:p>
      <w:pPr>
        <w:spacing w:after="40"/>
      </w:pPr>
    </w:p>
    <w:p>
      <w:pPr>
        <w:spacing w:after="240"/>
      </w:pPr>
      <w:r>
        <w:rPr>
          <w:b/>
          <w:sz w:val="23"/>
        </w:rPr>
        <w:t>Vorläufige Feststellungen – Nordwerft Energieanlagen AG</w:t>
      </w:r>
    </w:p>
    <w:p>
      <w:r>
        <w:t>Sehr geehrter Herr Dr. Clausen,</w:t>
      </w:r>
    </w:p>
    <w:p>
      <w:pPr>
        <w:pStyle w:val="Heading1"/>
      </w:pPr>
      <w:r>
        <w:t>1. Unabhängigkeitsüberwachung</w:t>
      </w:r>
    </w:p>
    <w:p>
      <w:pPr>
        <w:widowControl/>
        <w:jc w:val="both"/>
      </w:pPr>
      <w:r>
        <w:t>Die Inspektion hat festgestellt, dass die Meldung zur Beschäftigung des Ehepartners der Prüfungsmanagerin am 28.08.2025 einging, ihr Portalzugang zum Prüfungsbereich Finanzierung jedoch erst am 12.09.2025 entzogen wurde. Bitte erläutern Sie, welche Arbeitsschritte sie in diesem Zeitraum tatsächlich ausführte und wie deren Ergebnisse überprüft wurden.</w:t>
      </w:r>
    </w:p>
    <w:p>
      <w:pPr>
        <w:pStyle w:val="Heading1"/>
      </w:pPr>
      <w:r>
        <w:t>2. Nichtprüfungsleistungen</w:t>
      </w:r>
    </w:p>
    <w:p>
      <w:pPr>
        <w:widowControl/>
        <w:jc w:val="both"/>
      </w:pPr>
      <w:r>
        <w:t>Für die Erweiterungsmodule des OrbisCon-Projekts liegen Rechnungen über insgesamt 310000 EUR und eine E-Mail des Finanzvorstands vor. Ein gesonderter Ausschussbeschluss war im bereitgestellten Datenraum nicht auffindbar. Bitte legen Sie dar, auf welche Freigabe und welche Abgrenzung der Entscheidungsverantwortung sich die Praxis stützte.</w:t>
      </w:r>
    </w:p>
    <w:p>
      <w:pPr>
        <w:pStyle w:val="Heading1"/>
      </w:pPr>
      <w:r>
        <w:t>3. Prüfungsdokumentation</w:t>
      </w:r>
    </w:p>
    <w:p>
      <w:pPr>
        <w:widowControl/>
        <w:jc w:val="both"/>
      </w:pPr>
      <w:r>
        <w:t>Mehrere Arbeitspapiere wurden nach dem Datum des Bestätigungsvermerks geändert. Das Systemprotokoll weist Änderungen am 19.03., 02.04. und 07.04.2026 aus. Benennen Sie Anlass, Inhalt, Autor und ursprüngliche Fassung jeder Änderung. Ihre Stellungnahme erwarten wir bis zum 18.06.2026.</w:t>
      </w:r>
    </w:p>
    <w:p>
      <w:r>
        <w:t>Mit freundlichen Grüßen</w:t>
      </w:r>
    </w:p>
    <w:p>
      <w:pPr>
        <w:spacing w:after="0"/>
      </w:pPr>
      <w:r>
        <w:rPr>
          <w:b/>
        </w:rPr>
        <w:t>Dr. Paula Kern</w:t>
      </w:r>
    </w:p>
    <w:p>
      <w:pPr>
        <w:spacing w:after="160"/>
      </w:pPr>
      <w:r>
        <w:t>Inspektionsleiterin</w:t>
      </w:r>
    </w:p>
    <w:p>
      <w:r>
        <w:rPr>
          <w:b/>
        </w:rPr>
        <w:t>Anlagen</w:t>
      </w:r>
    </w:p>
    <w:p>
      <w:r>
        <w:t>1. Liste der erbetenen Einzelnachweise</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Abschlussprüferaufsichtsstelle beim Bundesamt für Wirtschaft und Ausfuhrkontrolle  |  Inspektionen bei Abschlussprüfern von Unternehmen von öffentlichem Interesse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Abschlussprüferaufsichtsstelle beim Bundesamt für Wirtschaft und Ausfuhrkontrolle</w:t>
          </w:r>
          <w:r>
            <w:rPr>
              <w:rFonts w:ascii="Arial" w:hAnsi="Arial"/>
              <w:color w:val="5C6266"/>
              <w:sz w:val="17"/>
            </w:rPr>
            <w:br/>
            <w:t>Inspektionen bei Abschlussprüfern von Unternehmen von öffentlichem Interesse</w:t>
          </w:r>
        </w:p>
      </w:tc>
      <w:tc>
        <w:tcPr>
          <w:tcW w:type="dxa" w:w="3742"/>
        </w:tcPr>
        <w:p>
          <w:pPr>
            <w:spacing w:after="0"/>
            <w:jc w:val="right"/>
          </w:pPr>
          <w:r>
            <w:rPr>
              <w:rFonts w:ascii="Arial" w:hAnsi="Arial"/>
              <w:color w:val="5C6266"/>
              <w:sz w:val="15"/>
            </w:rPr>
            <w:t>Uhlandstraße 88-90 · 10717 Berlin</w:t>
            <w:br/>
            <w:t>Telefon 030 590 099 0 · poststelle@apasbafa.bund.de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