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Sachbearbeitung Anfechtung | interne Handakte</w:t>
      </w:r>
    </w:p>
    <w:p>
      <w:r>
        <w:t>06.08.2026</w:t>
      </w:r>
    </w:p>
    <w:p>
      <w:pPr>
        <w:pStyle w:val="Title"/>
      </w:pPr>
      <w:r>
        <w:t>Arbeitsauftrag zur Rückzahlung an Burkhard Haderlein</w:t>
      </w:r>
    </w:p>
    <w:p>
      <w:pPr>
        <w:pStyle w:val="Heading1"/>
      </w:pPr>
      <w:r>
        <w:t>1 Auftrag</w:t>
      </w:r>
    </w:p>
    <w:p>
      <w:pPr/>
      <w:r>
        <w:t>Prüfen und verfolgen Sie die Rückzahlung von 150.000,00 EUR, die die VeedelWende Mobility GmbH am 3. Februar 2026 an ihren Gesellschafter Burkhard Haderlein geleistet hat. Herr Haderlein hielt damals und bei Antragstellung 25 Prozent der Geschäftsanteile. Der Eigenantrag ging am 3. Juni 2026 ein; das Verfahren wurde am 1. August 2026 eröffnet.</w:t>
      </w:r>
    </w:p>
    <w:p>
      <w:pPr>
        <w:pStyle w:val="Heading1"/>
      </w:pPr>
      <w:r>
        <w:t>2 Erwartetes Produkt</w:t>
      </w:r>
    </w:p>
    <w:p>
      <w:pPr/>
      <w:r>
        <w:t>Erstellen Sie zunächst einen knappen Zahlungsaufruf mit einem einseitigen Zahlungsspiegel. Nach fruchtlosem Ablauf der Frist ist eine vollständig ausformulierte Klageschrift vorzubereiten. Jede Behauptung muss einer Anlage zugeordnet werden. Die Zahlung ist primär nach Paragraf 135 Absatz 1 Nummer 2 in Verbindung mit Paragraf 143 Absatz 1 InsO zu prüfen.</w:t>
      </w:r>
    </w:p>
    <w:p>
      <w:pPr>
        <w:pStyle w:val="Heading1"/>
      </w:pPr>
      <w:r>
        <w:t>3 Prüfgrenzen</w:t>
      </w:r>
    </w:p>
    <w:p>
      <w:pPr/>
      <w:r>
        <w:t>Die Akte enthält Hinweise auf Fälligkeit, eine angebliche Servicepauschale und die damalige Liquiditätsplanung. Diese Umstände sind zu würdigen, ohne zusätzliche Tatbestandsmerkmale in Paragraf 135 InsO hineinzulesen. Die objektive Gläubigerbenachteiligung nach Paragraf 129 Absatz 1 InsO bleibt eigenständig festzustellen. Zinsen und Kosten sind getrennt zu berechnen; eine Freigabe zum Versand erteile ich erst nach Anlagenkontrolle.</w:t>
      </w:r>
    </w:p>
    <w:p>
      <w:pPr>
        <w:pStyle w:val="Heading1"/>
      </w:pPr>
      <w:r>
        <w:t>4 Frist</w:t>
      </w:r>
    </w:p>
    <w:p>
      <w:pPr/>
      <w:r>
        <w:t>Entwurf des Aufforderungsschreibens bis 10. August 2026. Bei Nichtzahlung Klageentwurf bis 15. September 2026. Außenversand nur nach namentlicher Freigabe.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zur Rückzahlung an Burkhard Haderlein</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