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Burkhard Haderlein</w:t>
        <w:br/>
        <w:t>Ubierring 41, 50678 Köln</w:t>
      </w:r>
    </w:p>
    <w:p>
      <w:r>
        <w:t>VeedelWende Mobility GmbH</w:t>
        <w:br/>
        <w:t>Geschäftsführerin Nala Seifert</w:t>
        <w:br/>
        <w:t>Klingelpütz 23, 50670 Köln</w:t>
      </w:r>
    </w:p>
    <w:p>
      <w:r>
        <w:t>12.06.2024</w:t>
      </w:r>
    </w:p>
    <w:p>
      <w:pPr>
        <w:pStyle w:val="Title"/>
      </w:pPr>
      <w:r>
        <w:t>Darlehen für Sensorserie und App-Version 2</w:t>
      </w:r>
    </w:p>
    <w:p>
      <w:pPr>
        <w:pStyle w:val="Heading1"/>
      </w:pPr>
      <w:r>
        <w:t>1 Darlehensbetrag</w:t>
      </w:r>
    </w:p>
    <w:p>
      <w:pPr/>
      <w:r>
        <w:t>Burkhard Haderlein gewährt der VeedelWende Mobility GmbH ein Darlehen in Höhe von 150.000,00 EUR. Die Auszahlung erfolgt auf das Geschäftskonto der Gesellschaft.</w:t>
      </w:r>
    </w:p>
    <w:p>
      <w:pPr>
        <w:pStyle w:val="Heading1"/>
      </w:pPr>
      <w:r>
        <w:t>2 Zweck</w:t>
      </w:r>
    </w:p>
    <w:p>
      <w:pPr/>
      <w:r>
        <w:t>Die Gesellschaft soll mit dem Geld zwölf Bluetooth-Sensoren, die Zertifizierung des KlingelKlar-Prototyps und die Weiterentwicklung der App finanzieren. Die Zweckangabe beschränkt den Rückzahlungsanspruch nicht, soweit die Parteien später nichts anderes schriftlich vereinbaren.</w:t>
      </w:r>
    </w:p>
    <w:p>
      <w:pPr>
        <w:pStyle w:val="Heading1"/>
      </w:pPr>
      <w:r>
        <w:t>3 Laufzeit und Rückzahlung</w:t>
      </w:r>
    </w:p>
    <w:p>
      <w:pPr/>
      <w:r>
        <w:t>Das Darlehen läuft bis zum 31. Dezember 2025. Danach ist es ohne weitere Kündigung zurückzuzahlen. Vorzeitige Teilzahlungen sind zulässig. Eine Rückzahlung steht nicht unter der Bedingung, dass die Gesellschaft Gewinne erzielt oder ausreichend Liquidität besitzt.</w:t>
      </w:r>
    </w:p>
    <w:p>
      <w:pPr>
        <w:pStyle w:val="Heading1"/>
      </w:pPr>
      <w:r>
        <w:t>4 Verzinsung</w:t>
      </w:r>
    </w:p>
    <w:p>
      <w:pPr/>
      <w:r>
        <w:t>Das Darlehen wird mit drei Prozent jährlich verzinst. Die Parteien können auf noch nicht gezahlte Zinsen schriftlich verzichten. Ein Rangrücktritt wird nicht vereinbart.</w:t>
      </w:r>
    </w:p>
    <w:p>
      <w:pPr>
        <w:pStyle w:val="Heading1"/>
      </w:pPr>
      <w:r>
        <w:t>5 Sonstiges</w:t>
      </w:r>
    </w:p>
    <w:p>
      <w:pPr/>
      <w:r>
        <w:t>Änderungen bedürfen der Textform. Köln ist Erfüllungsort. Unterschriften: Burkhard Haderlein und Nala Seifert für die VeedelWende Mobility GmbH.</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Darlehen für Sensorserie und App-Version 2</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