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Rechtsanwältin Dr. Alma Degenhart</w:t>
        <w:br/>
        <w:t>Insolvenzverwalterin VeedelWende Mobility GmbH</w:t>
        <w:br/>
        <w:t>Magnusstraße 18, 50672 Köln</w:t>
      </w:r>
    </w:p>
    <w:p>
      <w:r>
        <w:t>Interne Handakte</w:t>
      </w:r>
    </w:p>
    <w:p>
      <w:r>
        <w:t>09.08.2026</w:t>
      </w:r>
    </w:p>
    <w:p>
      <w:pPr>
        <w:pStyle w:val="Title"/>
      </w:pPr>
      <w:r>
        <w:t>Kurzprüfung Paragraf 135 InsO</w:t>
      </w:r>
    </w:p>
    <w:p>
      <w:pPr>
        <w:pStyle w:val="Heading1"/>
      </w:pPr>
      <w:r>
        <w:t>1 Ergebnis</w:t>
      </w:r>
    </w:p>
    <w:p>
      <w:pPr/>
      <w:r>
        <w:t>Die Zahlung von 150.000,00 EUR ist nach dem gegenwärtigen Belegstand gemäß Paragraf 135 Absatz 1 Nummer 2 in Verbindung mit Paragraf 143 Absatz 1 InsO anfechtbar. Die Gesellschaft befriedigte innerhalb eines Jahres vor dem am 3. Juni 2026 eingegangenen Insolvenzantrag eine Forderung auf Rückgewähr eines Gesellschafterdarlehens. Herr Haderlein war mit 25 Prozent beteiligt.</w:t>
      </w:r>
    </w:p>
    <w:p>
      <w:pPr>
        <w:pStyle w:val="Heading1"/>
      </w:pPr>
      <w:r>
        <w:t>2 Tatbestand</w:t>
      </w:r>
    </w:p>
    <w:p>
      <w:pPr/>
      <w:r>
        <w:t>Darlehensvertrag, Auszahlung und Rückzahlung sind deckungsgleich belegt. Zwischen Zahlung am 3. Februar und Antrag am 3. Juni 2026 liegen vier Monate. Die Kleinbeteiligtenausnahme greift bei 25 Prozent nicht. Eine Krise, Zahlungsunfähigkeit am Zahlungstag oder Kenntnis des Empfängers sind keine zusätzlichen Tatbestandsmerkmale des Paragrafen 135 Absatz 1 Nummer 2 InsO. Fälligkeit und ordnungsgemäße Buchung schließen die Anfechtung nicht aus.</w:t>
      </w:r>
    </w:p>
    <w:p>
      <w:pPr>
        <w:pStyle w:val="Heading1"/>
      </w:pPr>
      <w:r>
        <w:t>3 Gläubigerbenachteiligung</w:t>
      </w:r>
    </w:p>
    <w:p>
      <w:pPr/>
      <w:r>
        <w:t>Die Zahlung verringerte das Schuldnervermögen um 150.000,00 EUR. Eine gleichwertige, unmittelbar in das Vermögen gelangte Gegenleistung ist nicht belegt. Der nicht unterzeichnete Serviceentwurf ist weder Rechtsgrund noch Gegenleistung der Zahlung. Die objektive Benachteiligung nach Paragraf 129 Absatz 1 InsO ist damit belegt, sofern kein bislang unbekanntes insolvenzfestes Austauschgeschäft nachgewiesen wird.</w:t>
      </w:r>
    </w:p>
    <w:p>
      <w:pPr>
        <w:pStyle w:val="Heading1"/>
      </w:pPr>
      <w:r>
        <w:t>4 Rechtsprechungsanker</w:t>
      </w:r>
    </w:p>
    <w:p>
      <w:pPr/>
      <w:r>
        <w:t>Der Bundesgerichtshof beschreibt die Sonderbehandlung von Gesellschafter-Fremdfinanzierung als gesetzgeberische Finanzierungsfolgenverantwortung und verlangt für die Befriedigung innerhalb der Jahresfrist weder Eigenkapitalersatz noch eine Krise; vgl. BGH, Urteil vom 21. Februar 2013, IX ZR 32/12, BGHZ 196, 220, insbesondere Randnummern 11 bis 13 und 24 bis 31. Der Fall trägt die zeitliche und personelle Einordnung, nicht die Existenz jedes einzelnen Belegs.</w:t>
      </w:r>
    </w:p>
    <w:p>
      <w:pPr>
        <w:pStyle w:val="Heading1"/>
      </w:pPr>
      <w:r>
        <w:t>5 Vorgehen</w:t>
      </w:r>
    </w:p>
    <w:p>
      <w:pPr/>
      <w:r>
        <w:t>Zweizeiler mit Zahlungsspiegel versenden, Frist 24. August 2026. Nach fruchtlosem Ablauf Klage auf 150.000,00 EUR nebst gesetzlichen Verzugszinsen vorbereiten. Vor Klageeinreichung Zustellung, Bankverbindung und Kostenfreigabe kontrollieren.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Kurzprüfung Paragraf 135 InsO</dc:title>
  <dc:subject/>
  <dc:creator>Klotzkette</dc:creator>
  <cp:keywords/>
  <dc:description>generated by python-docx</dc:description>
  <cp:lastModifiedBy>Klotzkette</cp:lastModifiedBy>
  <cp:revision>1</cp:revision>
  <dcterms:created xsi:type="dcterms:W3CDTF">2026-10-22T08:00:00Z</dcterms:created>
  <dcterms:modified xsi:type="dcterms:W3CDTF">2026-10-22T08:00:00Z</dcterms:modified>
  <cp:category/>
  <dc:language>de-DE</dc:language>
</cp:coreProperties>
</file>