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Alma Degenhart</w:t>
        <w:br/>
        <w:t>Insolvenzverwalterin VeedelWende Mobility GmbH</w:t>
        <w:br/>
        <w:t>Magnusstraße 18, 50672 Köln</w:t>
      </w:r>
    </w:p>
    <w:p>
      <w:r>
        <w:t>Landgericht Köln</w:t>
        <w:br/>
        <w:t>Luxemburger Straße 101, 50939 Köln</w:t>
      </w:r>
    </w:p>
    <w:p>
      <w:r>
        <w:t>15.09.2026</w:t>
      </w:r>
    </w:p>
    <w:p>
      <w:pPr>
        <w:pStyle w:val="Title"/>
      </w:pPr>
      <w:r>
        <w:t>Klage auf Rückgewähr einer Gesellschafterdarlehenszahlung</w:t>
      </w:r>
    </w:p>
    <w:p>
      <w:pPr>
        <w:pStyle w:val="Heading1"/>
      </w:pPr>
      <w:r>
        <w:t>1 Parteien und Antrag</w:t>
      </w:r>
    </w:p>
    <w:p>
      <w:pPr/>
      <w:r>
        <w:t>In dem Rechtsstreit der Rechtsanwältin Dr. Alma Degenhart, Magnusstraße 18, 50672 Köln, als Insolvenzverwalterin über das Vermögen der VeedelWende Mobility GmbH, Klägerin, gegen Herrn Burkhard Haderlein, Ubierring 41, 50678 Köln, Beklagter, erhebe ich Klage.</w:t>
      </w:r>
    </w:p>
    <w:p>
      <w:pPr/>
      <w:r>
        <w:t>Die Klägerin beantragt, den Beklagten zu verurteilen, an die Klägerin 150.000,00 EUR nebst Zinsen in Höhe von fünf Prozentpunkten über dem Basiszinssatz seit dem 25. August 2026 zu zahlen. Ferner beantragt sie, dem Beklagten die Kosten des Rechtsstreits aufzuerlegen und das Urteil gegen Sicherheitsleistung für vorläufig vollstreckbar zu erklären.</w:t>
      </w:r>
    </w:p>
    <w:p>
      <w:pPr>
        <w:pStyle w:val="Heading1"/>
      </w:pPr>
      <w:r>
        <w:t>2 Zuständigkeit und Prozessführungsbefugnis</w:t>
      </w:r>
    </w:p>
    <w:p>
      <w:pPr/>
      <w:r>
        <w:t>Das Landgericht Köln ist sachlich zuständig, weil der Streitwert 150.000,00 EUR beträgt. Der Beklagte wohnt in Köln. Die Klägerin ist durch Beschluss des Amtsgerichts Köln vom 1. August 2026 zur Insolvenzverwalterin bestellt und macht einen zur Masse gehörenden Rückgewähranspruch geltend.</w:t>
      </w:r>
    </w:p>
    <w:p>
      <w:pPr/>
      <w:r>
        <w:t>Beweis: Eröffnungsbeschluss des Amtsgerichts Köln vom 1. August 2026, Anlage K1.</w:t>
      </w:r>
    </w:p>
    <w:p>
      <w:pPr>
        <w:pStyle w:val="Heading1"/>
      </w:pPr>
      <w:r>
        <w:t>3 Gesellschaft und Beteiligung</w:t>
      </w:r>
    </w:p>
    <w:p>
      <w:pPr/>
      <w:r>
        <w:t>Die Schuldnerin entwickelte unter der Bezeichnung KlingelKlar eine Fahrrad-Navigations-App und Bluetooth-Sensoren für Stellplätze. Der Beklagte war seit November 2022 mit 25 Prozent am Stammkapital beteiligt. Diese Beteiligung bestand bei Darlehensgewährung, Rückzahlung und Antragstellung unverändert fort.</w:t>
      </w:r>
    </w:p>
    <w:p>
      <w:pPr/>
      <w:r>
        <w:t>Beweis: Gesellschafterliste vom 18. September 2025, Anlage K2.</w:t>
      </w:r>
    </w:p>
    <w:p>
      <w:pPr>
        <w:pStyle w:val="Heading1"/>
      </w:pPr>
      <w:r>
        <w:t>4 Darlehensgewährung</w:t>
      </w:r>
    </w:p>
    <w:p>
      <w:pPr/>
      <w:r>
        <w:t>Mit schriftlichem Vertrag vom 12. Juni 2024 gewährte der Beklagte der Schuldnerin ein Darlehen über 150.000,00 EUR. Das Kapital war bis 31. Dezember 2025 überlassen. Ein Rangrücktritt wurde nicht vereinbart. Der Beklagte überwies den vollständigen Betrag am 14. Juni 2024 auf das Geschäftskonto der Schuldnerin.</w:t>
      </w:r>
    </w:p>
    <w:p>
      <w:pPr/>
      <w:r>
        <w:t>Beweis: Darlehensvertrag vom 12. Juni 2024, Anlage K3; Überweisungsbestätigung vom 14. Juni 2024, Anlage K4.</w:t>
      </w:r>
    </w:p>
    <w:p>
      <w:pPr>
        <w:pStyle w:val="Heading1"/>
      </w:pPr>
      <w:r>
        <w:t>5 Angefochtene Zahlung</w:t>
      </w:r>
    </w:p>
    <w:p>
      <w:pPr/>
      <w:r>
        <w:t>Am 3. Februar 2026 überwies die Schuldnerin 150.000,00 EUR an den Beklagten. Der Buchungstext lautete Darlehen 12.06.2024 vollständig zurück. Der Beklagte selbst hatte am Vortag genau diese Rückzahlung und genau diesen Buchungstext verlangt. Der nicht unterzeichnete Entwurf über mögliche Vertriebsleistungen wurde nicht zur Grundlage der Zahlung gemacht.</w:t>
      </w:r>
    </w:p>
    <w:p>
      <w:pPr/>
      <w:r>
        <w:t>Beweis: Kontoauszug, erstellt am 4. Februar 2026, über die Rückzahlung vom 3. Februar 2026, Anlage K5; E-Mail des Beklagten vom 2. Februar 2026, Anlage K6; Entwurf einer Vertriebspartnerschaft, Anlage K7.</w:t>
      </w:r>
    </w:p>
    <w:p>
      <w:pPr>
        <w:pStyle w:val="Heading1"/>
      </w:pPr>
      <w:r>
        <w:t>6 Insolvenzantrag und Eröffnung</w:t>
      </w:r>
    </w:p>
    <w:p>
      <w:pPr/>
      <w:r>
        <w:t>Der Eigenantrag der Schuldnerin ging am 3. Juni 2026 beim Amtsgericht Köln ein. Das Insolvenzverfahren wurde am 1. August 2026 wegen Zahlungsunfähigkeit eröffnet. Die Rückzahlung lag damit exakt vier Monate vor dem maßgeblichen Antrag.</w:t>
      </w:r>
    </w:p>
    <w:p>
      <w:pPr/>
      <w:r>
        <w:t>Beweis: Eingangsbestätigung vom 3. Juni 2026, Anlage K8; Eröffnungsbeschluss, bereits Anlage K1.</w:t>
      </w:r>
    </w:p>
    <w:p>
      <w:pPr>
        <w:pStyle w:val="Heading1"/>
      </w:pPr>
      <w:r>
        <w:t>7 Anfechtbarkeit nach Paragraf 135 Absatz 1 Nummer 2 InsO</w:t>
      </w:r>
    </w:p>
    <w:p>
      <w:pPr>
        <w:pStyle w:val="Heading1"/>
      </w:pPr>
      <w:r>
        <w:t>7.1 Befriedigung einer Darlehensrückgewährforderung</w:t>
      </w:r>
    </w:p>
    <w:p>
      <w:pPr/>
      <w:r>
        <w:t>Die Rechtshandlung gewährte dem Beklagten Befriedigung für seine Forderung auf Rückgewähr eines Gesellschafterdarlehens. Der schriftliche Vertrag, die Valutierung und der vom Beklagten selbst verlangte Buchungstext stimmen überein. Die Forderung beruhte weder auf einer Warenlieferung noch auf einer fälligen Dienstleistungsvergütung. Der bloße, von keiner Seite unterzeichnete Serviceentwurf ändert den Rechtsgrund der konkret angewiesenen Zahlung nicht.</w:t>
      </w:r>
    </w:p>
    <w:p>
      <w:pPr>
        <w:pStyle w:val="Heading1"/>
      </w:pPr>
      <w:r>
        <w:t>7.2 Jahresfrist</w:t>
      </w:r>
    </w:p>
    <w:p>
      <w:pPr/>
      <w:r>
        <w:t>Die Rückzahlung vom 3. Februar 2026 erfolgte vier Monate vor dem am 3. Juni 2026 eingegangenen Eigenantrag. Sie lag damit innerhalb des nach Paragraf 135 Absatz 1 Nummer 2 in Verbindung mit Paragraf 139 InsO maßgeblichen Jahres. Dass das Darlehen nach dem Vertragswortlaut bereits am 31. Dezember 2025 fällig sein sollte, nimmt die Befriedigung nicht aus dem Tatbestand. Die Vorschrift erfasst gerade die Erfüllung der Rückgewährforderung in dieser Frist.</w:t>
      </w:r>
    </w:p>
    <w:p>
      <w:pPr>
        <w:pStyle w:val="Heading1"/>
      </w:pPr>
      <w:r>
        <w:t>7.3 Keine zusätzliche Krise oder Kenntnis</w:t>
      </w:r>
    </w:p>
    <w:p>
      <w:pPr/>
      <w:r>
        <w:t>Die Klägerin muss weder Zahlungsunfähigkeit am Zahlungstag noch eine Krisenkenntnis des Beklagten beweisen. Der Bundesgerichtshof hat klargestellt, dass nach Aufgabe des früheren Eigenkapitalersatzrechts jede Rückzahlung eines Gesellschafterdarlehens innerhalb der Jahresfrist erfasst wird; eine teleologische Reduktion zugunsten eines Entlastungsbeweises, es habe noch kein Insolvenzgrund vorgelegen, scheidet aus, BGH, Beschluss vom 30. April 2015, IX ZR 196/13, WM 2015, 1119, Randnummern 5 bis 7. Die vom Beklagten angeführte Hoffnung auf eine Förderrate ist deshalb kein Tatbestandsgegenbeweis. Sie widerlegt zudem den durch den Kontoauszug belegten Vermögensabfluss nicht.</w:t>
      </w:r>
    </w:p>
    <w:p>
      <w:pPr>
        <w:pStyle w:val="Heading1"/>
      </w:pPr>
      <w:r>
        <w:t>7.4 Keine Kleinbeteiligtenausnahme</w:t>
      </w:r>
    </w:p>
    <w:p>
      <w:pPr/>
      <w:r>
        <w:t>Der Beklagte hielt durchgehend 25 Prozent. Paragraf 39 Absatz 5 InsO privilegiert nur den nicht geschäftsführenden Gesellschafter mit höchstens zehn Prozent am Haftkapital. Der Bundesgerichtshof stellt für dieses Privileg auf die Verhältnisse im maßgeblichen Jahreszeitraum ab und bestätigt die Grenze von höchstens zehn Prozent, BGH, Urteil vom 20. April 2023, IX ZR 44/22, ECLI:DE:BGH:2023:200423UIXZR44.22.0, Randnummern 8 bis 10. Der Beklagte überschritt diese Schwelle deutlich. Seine fehlende Geschäftsführerstellung genügt daher nicht.</w:t>
      </w:r>
    </w:p>
    <w:p>
      <w:pPr>
        <w:pStyle w:val="Heading1"/>
      </w:pPr>
      <w:r>
        <w:t>7.5 Bedeutung der weiteren Rechtsprechung</w:t>
      </w:r>
    </w:p>
    <w:p>
      <w:pPr/>
      <w:r>
        <w:t>Der Bundesgerichtshof beschreibt die fortwirkende Finanzierungsverantwortung und die zeitliche Konzeption des Gesellschafterdarlehensrechts in BGH, Urteil vom 21. Februar 2013, IX ZR 32/12, BGHZ 196, 220, Randnummern 24 bis 27. Der dort behandelte Wechsel der Gesellschafter- oder Gläubigerstellung ist hier nicht entscheidungserheblich, weil der Beklagte seine Beteiligung und seine Forderung bis zur Rückzahlung behielt. Die Entscheidung wird daher nur für den gesetzlichen Zeitansatz, nicht als Ersatz für den Nachweis der konkreten Zahlung herangezogen.</w:t>
      </w:r>
    </w:p>
    <w:p>
      <w:pPr>
        <w:pStyle w:val="Heading1"/>
      </w:pPr>
      <w:r>
        <w:t>8 Objektive Gläubigerbenachteiligung</w:t>
      </w:r>
    </w:p>
    <w:p>
      <w:pPr/>
      <w:r>
        <w:t>Durch die Überweisung verlor die Schuldnerin 150.000,00 EUR Bankguthaben. Dem Abfluss stand keine gleichwertige, zugleich in das Vermögen gelangte Leistung gegenüber. Die Tilgung einer Forderung vermindert die Passivseite, verschafft den übrigen Insolvenzgläubigern aber keinen Zugriff auf einen neuen Vermögenswert. Der Serviceentwurf wurde nicht abgeschlossen, enthält keine Verrechnung und beziffert zudem lediglich eine diskutierte Pauschale von 18.000,00 EUR. Die Buchhaltung hatte vor der Zahlung vor fälligen Gesamtbelastungen gewarnt.</w:t>
      </w:r>
    </w:p>
    <w:p>
      <w:pPr/>
      <w:r>
        <w:t>Beweis: Liquiditätswarnung vom 28. Januar 2026, Anlage K9; Zahlungsfreigabe vom 2. Februar 2026, Anlage K10.</w:t>
      </w:r>
    </w:p>
    <w:p>
      <w:pPr/>
      <w:r>
        <w:t>Damit sind die Voraussetzungen des Paragrafen 129 Absatz 1 InsO erfüllt. Auf eine Benachteiligungsabsicht oder Kenntnis des Beklagten kommt es für den geltend gemachten Tatbestand nicht an. Der Einwand, alle Gesellschafter hätten der Zahlung zugestimmt, beseitigt die objektive Masseverkürzung nicht. Auch eine gesellschaftsinterne Freigabe kann die zwingende Anfechtungsfolge gegenüber der späteren Insolvenzmasse nicht abbedingen.</w:t>
      </w:r>
    </w:p>
    <w:p>
      <w:pPr/>
      <w:r>
        <w:t>Die Klägerin trägt den Zahlungsvorgang, die Beteiligung, die Darlehensqualität, den maßgeblichen Antrag und den Vermögensabfluss anhand jeweils bezeichneter Urkunden vor. Der Beklagte, der einen abweichenden Rechtsgrund behauptet, hat bislang weder Rechnung noch unterzeichnete Leistungsbeschreibung, Abnahme oder Verrechnungsabrede vorgelegt. Die Klägerin bestreitet das Zustandekommen eines entgeltlichen Servicevertrags und bestreitet, dass die Zahlung ganz oder teilweise auf Vermittlungsleistungen erfolgte. Der vorhandene Entwurf nennt lediglich eine diskutierte Pauschale von 18.000,00 EUR und schließt eine Verrechnung mit dem Darlehen ausdrücklich aus.</w:t>
      </w:r>
    </w:p>
    <w:p>
      <w:pPr>
        <w:pStyle w:val="Heading1"/>
      </w:pPr>
      <w:r>
        <w:t>9 Rechtsfolge</w:t>
      </w:r>
    </w:p>
    <w:p>
      <w:pPr/>
      <w:r>
        <w:t>Der Beklagte hat den empfangenen Betrag nach Paragraf 143 Absatz 1 InsO zur Insolvenzmasse zurückzugewähren. Die Rückgewähr erfolgt in Geld, weil Gegenstand der angefochtenen Rechtshandlung eine Banküberweisung war. Nach erfolgreicher Rückgewähr lebt die getilgte Darlehensforderung nach Paragraf 144 Absatz 1 InsO wieder auf; sie ist dann nach Maßgabe des Insolvenzrechts zu behandeln. Dies vermeidet eine doppelte Belastung des Beklagten, verschafft ihm aber kein Recht, den Rückgewährbetrag bis zu einer Tabellenbehandlung zurückzuhalten.</w:t>
      </w:r>
    </w:p>
    <w:p>
      <w:pPr/>
      <w:r>
        <w:t>Die Klägerin verlangte die Zahlung mit Schreiben vom 10. August 2026 bis zum 24. August 2026. Das Schreiben und der Zahlungsspiegel wurden per E-Mail übersandt. Der Beklagte lehnte die Zahlung am letzten Tag der Frist ausdrücklich ab.</w:t>
      </w:r>
    </w:p>
    <w:p>
      <w:pPr/>
      <w:r>
        <w:t>Beweis: Aufforderungsschreiben vom 10. August 2026, Anlage K11; Zahlungsspiegel, Anlage K12; E-Mail-Übermittlung, Anlage K13; Ablehnung vom 24. August 2026, Anlage K14.</w:t>
      </w:r>
    </w:p>
    <w:p>
      <w:pPr/>
      <w:r>
        <w:t>Seit dem 25. August 2026 befindet sich der Beklagte in Verzug. Der geltend gemachte Zinsanspruch folgt jedenfalls aus den gesetzlichen Verzugsregeln. Weitergehende insolvenzrechtliche Zinsansprüche bleiben einer rechtlichen Prüfung vorbehalten und werden mit dieser Klage nicht doppelt verlangt.</w:t>
      </w:r>
    </w:p>
    <w:p>
      <w:pPr>
        <w:pStyle w:val="Heading1"/>
      </w:pPr>
      <w:r>
        <w:t>10 Verteidigungsvorbringen</w:t>
      </w:r>
    </w:p>
    <w:p>
      <w:pPr>
        <w:pStyle w:val="Heading1"/>
      </w:pPr>
      <w:r>
        <w:t>10.1 Fälligkeit und Gesellschafterbeschluss</w:t>
      </w:r>
    </w:p>
    <w:p>
      <w:pPr/>
      <w:r>
        <w:t>Der Beklagte beruft sich vorprozessual auf Fälligkeit und Zustimmung der Gesellschafter. Beide Umstände können erklären, warum die Geschäftsführung die Zahlung anwies; sie beseitigen aber weder deren Rechtsnatur noch die gesetzliche Jahresfrist. Paragraf 135 Absatz 1 Nummer 2 InsO erfasst kongruente und geschuldete Befriedigungen.</w:t>
      </w:r>
    </w:p>
    <w:p>
      <w:pPr>
        <w:pStyle w:val="Heading1"/>
      </w:pPr>
      <w:r>
        <w:t>10.2 Fehlende Kenntnis und behauptete Solvenz</w:t>
      </w:r>
    </w:p>
    <w:p>
      <w:pPr/>
      <w:r>
        <w:t>Der Beklagte verweist ferner auf fehlende Kenntnis, die erwartete Förderrate und vorhandene App- und Sensorwerte. Diese Einwendungen betreffen Merkmale, die der geltend gemachte Tatbestand nicht verlangt. Die Klägerin stützt ihre Klage nicht auf eine Vorsatzanfechtung und behauptet deshalb auch keine für Paragraf 133 InsO erforderliche subjektive Kenntnis.</w:t>
      </w:r>
    </w:p>
    <w:p>
      <w:pPr>
        <w:pStyle w:val="Heading1"/>
      </w:pPr>
      <w:r>
        <w:t>10.3 Angebliche Vermittlungsleistungen</w:t>
      </w:r>
    </w:p>
    <w:p>
      <w:pPr/>
      <w:r>
        <w:t>Die Klägerin bestreitet nicht, dass der Beklagte einzelne Kontakte benannt haben mag. Sie bestreitet aber einen abgeschlossenen entgeltlichen Servicevertrag, eine erfüllte Leistung im Wert von 150.000,00 EUR und eine Verrechnung. Der Beklagte verlangte selbst die eindeutige Buchung als Darlehensrückzahlung. Selbst eine gesonderte, belegte Vergütungsforderung würde die angegriffene Tilgung nicht rückwirkend zu einer Zahlung auf jene Forderung machen.</w:t>
      </w:r>
    </w:p>
    <w:p>
      <w:pPr>
        <w:pStyle w:val="Heading1"/>
      </w:pPr>
      <w:r>
        <w:t>10.4 Beweisangebot</w:t>
      </w:r>
    </w:p>
    <w:p>
      <w:pPr/>
      <w:r>
        <w:t>Für den Fall, dass der Beklagte die Echtheit seiner E-Mail oder den Zahlungszweck bestreitet, wird die Vernehmung der Geschäftsführerin Nala Seifert, Anschrift über die Schuldnerin, sowie die Einholung der vollständigen Kontoumsatzdaten des in Anlage K5 bezeichneten Geschäftskontos angeboten. Ein Beweis durch Sachverständigengutachten ist derzeit nicht erforderlich, weil Zahlung und Kontierung urkundlich feststehen.</w:t>
      </w:r>
    </w:p>
    <w:p>
      <w:pPr>
        <w:pStyle w:val="Heading1"/>
      </w:pPr>
      <w:r>
        <w:t>11 Schluss</w:t>
      </w:r>
    </w:p>
    <w:p>
      <w:pPr/>
      <w:r>
        <w:t>Der Anspruch ist nach Grund und Höhe durch eine geschlossene Belegkette nachgewiesen. Die Klage ist daher in vollem Umfang begründet.</w:t>
      </w:r>
    </w:p>
    <w:p>
      <w:pPr/>
      <w:r>
        <w:t>Dr. Alma Degenhart</w:t>
        <w:br/>
        <w:t>Rechtsanwältin als Insolvenzverwalterin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 auf Rückgewähr einer Gesellschafterdarlehenszahlung</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