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Rechtsanwältin Dr. Alma Degenhart</w:t>
        <w:br/>
        <w:t>Insolvenzverwalterin VeedelWende Mobility GmbH</w:t>
        <w:br/>
        <w:t>Magnusstraße 18, 50672 Köln</w:t>
      </w:r>
    </w:p>
    <w:p>
      <w:r>
        <w:t>Landgericht Köln</w:t>
      </w:r>
    </w:p>
    <w:p>
      <w:r>
        <w:t>15.09.2026</w:t>
      </w:r>
    </w:p>
    <w:p>
      <w:pPr>
        <w:pStyle w:val="Title"/>
      </w:pPr>
      <w:r>
        <w:t>Anlagenverzeichnis zur Klage Haderlein</w:t>
      </w:r>
    </w:p>
    <w:p>
      <w:pPr/>
      <w:r>
        <w:t>K1 Eröffnungsbeschluss des Amtsgerichts Köln vom 1. August 2026.</w:t>
      </w:r>
    </w:p>
    <w:p>
      <w:pPr/>
      <w:r>
        <w:t>K2 Gesellschafterliste der VeedelWende Mobility GmbH vom 18. September 2025.</w:t>
      </w:r>
    </w:p>
    <w:p>
      <w:pPr/>
      <w:r>
        <w:t>K3 Darlehensvertrag vom 12. Juni 2024.</w:t>
      </w:r>
    </w:p>
    <w:p>
      <w:pPr/>
      <w:r>
        <w:t>K4 Überweisungsbestätigung über die Darlehensauszahlung vom 14. Juni 2024.</w:t>
      </w:r>
    </w:p>
    <w:p>
      <w:pPr/>
      <w:r>
        <w:t>K5 Kontoauszug, erstellt am 4. Februar 2026, über die Rückzahlung vom 3. Februar 2026.</w:t>
      </w:r>
    </w:p>
    <w:p>
      <w:pPr/>
      <w:r>
        <w:t>K6 E-Mail des Beklagten vom 2. Februar 2026.</w:t>
      </w:r>
    </w:p>
    <w:p>
      <w:pPr/>
      <w:r>
        <w:t>K7 Nicht unterzeichneter Entwurf einer Vertriebspartnerschaft vom 30. Januar 2026.</w:t>
      </w:r>
    </w:p>
    <w:p>
      <w:pPr/>
      <w:r>
        <w:t>K8 Eingangsbestätigung zum Insolvenzantrag vom 3. Juni 2026.</w:t>
      </w:r>
    </w:p>
    <w:p>
      <w:pPr/>
      <w:r>
        <w:t>K9 Liquiditätswarnung der Buchhaltung vom 28. Januar 2026.</w:t>
      </w:r>
    </w:p>
    <w:p>
      <w:pPr/>
      <w:r>
        <w:t>K10 Zahlungsfreigabe vom 2. Februar 2026.</w:t>
      </w:r>
    </w:p>
    <w:p>
      <w:pPr/>
      <w:r>
        <w:t>K11 Aufforderungsschreiben vom 10. August 2026.</w:t>
      </w:r>
    </w:p>
    <w:p>
      <w:pPr/>
      <w:r>
        <w:t>K12 Zahlungsspiegel als Anlage zum Aufforderungsschreiben.</w:t>
      </w:r>
    </w:p>
    <w:p>
      <w:pPr/>
      <w:r>
        <w:t>K13 E-Mail-Übermittlung vom 10. August 2026.</w:t>
      </w:r>
    </w:p>
    <w:p>
      <w:pPr/>
      <w:r>
        <w:t>K14 Ablehnung des Beklagten vom 24. August 2026.</w:t>
      </w:r>
    </w:p>
    <w:p>
      <w:pPr/>
      <w:r>
        <w:t>Die Anlagen sind in dieser Reihenfolge elektronisch zu einem durchsuchbaren Anlagenband zusammenzuführen. Dateiname und Anlagenbezeichnung sind vor Einreichung abzugleichen.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54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140" w:line="254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140" w:line="254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40" w:line="254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54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40" w:line="254" w:lineRule="auto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Anlagenverzeichnis zur Klage Haderlein</dc:title>
  <dc:subject/>
  <dc:creator>Klotzkette</dc:creator>
  <cp:keywords/>
  <dc:description>generated by python-docx</dc:description>
  <cp:lastModifiedBy>Klotzkette</cp:lastModifiedBy>
  <cp:revision>1</cp:revision>
  <dcterms:created xsi:type="dcterms:W3CDTF">2026-10-22T08:00:00Z</dcterms:created>
  <dcterms:modified xsi:type="dcterms:W3CDTF">2026-10-22T08:00:00Z</dcterms:modified>
  <cp:category/>
  <dc:language>de-DE</dc:language>
</cp:coreProperties>
</file>