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Kilian Quendel</w:t>
        <w:br/>
        <w:t>Kanzlei Quendel | Sachsenring 57, 50677 Köln</w:t>
      </w:r>
    </w:p>
    <w:p>
      <w:r>
        <w:t>Burkhard Haderlein</w:t>
        <w:br/>
        <w:t>Ubierring 41, 50678 Köln</w:t>
      </w:r>
    </w:p>
    <w:p>
      <w:r>
        <w:t>18.09.2026</w:t>
      </w:r>
    </w:p>
    <w:p>
      <w:pPr>
        <w:pStyle w:val="Title"/>
      </w:pPr>
      <w:r>
        <w:t>Erste Einschätzung nach Erhalt des Klageentwurfs</w:t>
      </w:r>
    </w:p>
    <w:p>
      <w:pPr>
        <w:pStyle w:val="Heading1"/>
      </w:pPr>
      <w:r>
        <w:t>1 Kurzantwort</w:t>
      </w:r>
    </w:p>
    <w:p>
      <w:pPr/>
      <w:r>
        <w:t>Die Verteidigungsaussichten gegen den Kapitalanspruch sind nach Aktenlage gering. Darlehensvertrag, Beteiligung, Rückzahlung und Jahresfrist sind dokumentiert. Weder Fälligkeit noch fehlende Kenntnis beseitigen den Tatbestand des Paragrafen 135 Absatz 1 Nummer 2 InsO.</w:t>
      </w:r>
    </w:p>
    <w:p>
      <w:pPr>
        <w:pStyle w:val="Heading1"/>
      </w:pPr>
      <w:r>
        <w:t>2 Serviceeinwand</w:t>
      </w:r>
    </w:p>
    <w:p>
      <w:pPr/>
      <w:r>
        <w:t>Der Servicevertrag ist nicht unterzeichnet. Er schließt eine Verrechnung mit dem Darlehen ausdrücklich aus und nennt nur eine diskutierte Pauschale von 18.000,00 EUR. Selbst nachgewiesene einzelne Kontakte erklären daher die Zahlung von 150.000,00 EUR mit dem eindeutigen Verwendungszweck nicht.</w:t>
      </w:r>
    </w:p>
    <w:p>
      <w:pPr>
        <w:pStyle w:val="Heading1"/>
      </w:pPr>
      <w:r>
        <w:t>3 Offene Prüfung</w:t>
      </w:r>
    </w:p>
    <w:p>
      <w:pPr/>
      <w:r>
        <w:t>Zu kontrollieren sind die Wirksamkeit der Verwalterbestellung, die Übereinstimmung des Antragsdatums, die Echtheit der Kontoauszüge, der Fristzugang und eine mögliche Zahlung oder Aufrechnung nach Klageerhebung. Ein bloßes Bestreiten ins Blaue hinein ist nicht angezeigt.</w:t>
      </w:r>
    </w:p>
    <w:p>
      <w:pPr>
        <w:pStyle w:val="Heading1"/>
      </w:pPr>
      <w:r>
        <w:t>4 Empfehlung</w:t>
      </w:r>
    </w:p>
    <w:p>
      <w:pPr/>
      <w:r>
        <w:t>Herr Haderlein sollte Liquidität, Vergleichsrahmen und Kostenrisiko offenlegen. Eine Klageerwiderung muss die unstreitigen Tatsachen einräumen und darf keine Krise- oder Kenntnisvoraussetzung erfinden. Vor einem Vergleich ist zu klären, ob und in welcher Höhe die Masse auf eine Ratenzahlung eingehen darf.</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Erste Einschätzung nach Erhalt des Klageentwurfs</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