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Dr. Alma Degenhart</w:t>
        <w:br/>
        <w:t>Insolvenzverwalterin VeedelWende Mobility GmbH</w:t>
        <w:br/>
        <w:t>Magnusstraße 18, 50672 Köln</w:t>
      </w:r>
    </w:p>
    <w:p>
      <w:r>
        <w:t>Sachbearbeitung Anfechtung | interne Handakte</w:t>
      </w:r>
    </w:p>
    <w:p>
      <w:r>
        <w:t>08.08.2026</w:t>
      </w:r>
    </w:p>
    <w:p>
      <w:pPr>
        <w:pStyle w:val="Title"/>
      </w:pPr>
      <w:r>
        <w:t>Arbeitsauftrag zur Zahlung an Rocco Quast</w:t>
      </w:r>
    </w:p>
    <w:p>
      <w:pPr>
        <w:pStyle w:val="Heading1"/>
      </w:pPr>
      <w:r>
        <w:t>1 Auftrag</w:t>
      </w:r>
    </w:p>
    <w:p>
      <w:pPr/>
      <w:r>
        <w:t>Prüfen Sie die Zahlung von 96.000,00 EUR, die die VeedelWende Mobility GmbH am 3. April 2026 an Rocco Quast geleistet hat. Ursprüngliche Darlehensgeberin war die mit 15 Prozent beteiligte Kreszentia Zech. Sie verkaufte und trat die Forderung am 3. Dezember 2024 für 48.000,00 EUR an Herrn Quast ab. Der Insolvenzantrag ging am 3. Juni 2026 ein.</w:t>
      </w:r>
    </w:p>
    <w:p>
      <w:pPr>
        <w:pStyle w:val="Heading1"/>
      </w:pPr>
      <w:r>
        <w:t>2 Verdachtsmomente</w:t>
      </w:r>
    </w:p>
    <w:p>
      <w:pPr/>
      <w:r>
        <w:t>Der Kaufpreis betrug nur die Hälfte des Nominalwerts. Frau Zech und Herr Quast kannten sich aus einer lokalen Fahrradinitiative. Frau Zech informierte Herrn Quast später über erwartete Fördermittel; allein Herr Quast forderte sodann die Geschäftsführung zur Zahlung auf. Die Gesellschaft zahlte bereits am 3. April 2026, obwohl die vierwöchige Kündigungsfrist aus dem Darlehensvertrag erst am 17. April 2026 endete. Zu prüfen ist, ob Herr Quast wirklich auf eigene Rechnung erwarb oder lediglich vorgeschoben wurde.</w:t>
      </w:r>
    </w:p>
    <w:p>
      <w:pPr>
        <w:pStyle w:val="Heading1"/>
      </w:pPr>
      <w:r>
        <w:t>3 Prüfgrenze</w:t>
      </w:r>
    </w:p>
    <w:p>
      <w:pPr/>
      <w:r>
        <w:t>Die Abtretung lag 18 Monate vor dem Insolvenzantrag. Die Rechtsprechung zur fortdauernden Finanzierungsfolgenverantwortung nach Abtretung ist deshalb vollständig und gegen die Klagehypothese auszuwerten. Verdacht ersetzt keinen Tatsachenvortrag. Auch die verfrühte Zahlung belegt für sich keine wirtschaftliche Berechtigung Frau Zechs. Eine Klage darf nur tatsächlich belegte Indizien behaupten und muss im internen Risikomemo die Gegenargumente offenlegen.</w:t>
      </w:r>
    </w:p>
    <w:p>
      <w:pPr>
        <w:pStyle w:val="Heading1"/>
      </w:pPr>
      <w:r>
        <w:t>4 Produkte</w:t>
      </w:r>
    </w:p>
    <w:p>
      <w:pPr/>
      <w:r>
        <w:t>Erstellen Sie einen knappen Zahlungsaufruf, einen Beleg- und Zahlungsabgleich, ein Risikomemo, einen ausformulierten Klageentwurf und zur Red-Team-Prüfung eine vollständige Klageerwiderung.</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Arbeitsauftrag zur Zahlung an Rocco Quast</dc:title>
  <dc:subject/>
  <dc:creator>Klotzkette</dc:creator>
  <cp:keywords/>
  <dc:description>generated by python-docx</dc:description>
  <cp:lastModifiedBy>Klotzkette</cp:lastModifiedBy>
  <cp:revision>1</cp:revision>
  <dcterms:created xsi:type="dcterms:W3CDTF">2026-10-22T08:00:00Z</dcterms:created>
  <dcterms:modified xsi:type="dcterms:W3CDTF">2026-10-22T08:00:00Z</dcterms:modified>
  <cp:category/>
  <dc:language>de-DE</dc:language>
</cp:coreProperties>
</file>