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Kreszentia Zech</w:t>
        <w:br/>
        <w:t>Dagobertstraße 35, 50668 Köln</w:t>
      </w:r>
    </w:p>
    <w:p>
      <w:r>
        <w:t>Rocco Quast</w:t>
        <w:br/>
        <w:t>Roonstraße 62, 50674 Köln</w:t>
      </w:r>
    </w:p>
    <w:p>
      <w:r>
        <w:t>03.12.2024</w:t>
      </w:r>
    </w:p>
    <w:p>
      <w:pPr>
        <w:pStyle w:val="Title"/>
      </w:pPr>
      <w:r>
        <w:t>Forderungskauf und Abtretung</w:t>
      </w:r>
    </w:p>
    <w:p>
      <w:pPr>
        <w:pStyle w:val="Heading1"/>
      </w:pPr>
      <w:r>
        <w:t>1 Kaufgegenstand</w:t>
      </w:r>
    </w:p>
    <w:p>
      <w:pPr/>
      <w:r>
        <w:t>Kreszentia Zech verkauft an Rocco Quast ihre gesamte gegen die VeedelWende Mobility GmbH gerichtete Darlehensforderung aus dem Vertrag vom 15. Mai 2023. Der Nominalbetrag des Kapitals beträgt 96.000,00 EUR. Mitverkauft werden aufgelaufene und künftige Zinsen, soweit sie bestehen.</w:t>
      </w:r>
    </w:p>
    <w:p>
      <w:pPr>
        <w:pStyle w:val="Heading1"/>
      </w:pPr>
      <w:r>
        <w:t>2 Kaufpreis</w:t>
      </w:r>
    </w:p>
    <w:p>
      <w:pPr/>
      <w:r>
        <w:t>Der Kaufpreis beträgt 48.000,00 EUR. Er ist bis 10. Dezember 2024 auf das Privatkonto der Verkäuferin zu zahlen. Der niedrige Preis berücksichtigt die lange Restlaufzeit, die unsichere wirtschaftliche Entwicklung der Gesellschaft und das vollständige Ausfallrisiko des Käufers.</w:t>
      </w:r>
    </w:p>
    <w:p>
      <w:pPr>
        <w:pStyle w:val="Heading1"/>
      </w:pPr>
      <w:r>
        <w:t>3 Abtretung</w:t>
      </w:r>
    </w:p>
    <w:p>
      <w:pPr/>
      <w:r>
        <w:t>Frau Zech tritt die bezeichnete Forderung mit sofortiger Wirkung an Herrn Quast ab. Herr Quast nimmt die Abtretung an. Die Parteien sind sich einig, dass Herr Quast ab heute alleiniger wirtschaftlicher und rechtlicher Inhaber der Forderung ist.</w:t>
      </w:r>
    </w:p>
    <w:p>
      <w:pPr>
        <w:pStyle w:val="Heading1"/>
      </w:pPr>
      <w:r>
        <w:t>4 Risiko und Rückgriff</w:t>
      </w:r>
    </w:p>
    <w:p>
      <w:pPr/>
      <w:r>
        <w:t>Herr Quast trägt das Risiko der Einbringlichkeit. Frau Zech garantiert nur den Bestand der Forderung am heutigen Tag. Sie haftet nicht für Zahlungsfähigkeit, spätere Insolvenz oder den Erlös. Rückgriff, Treuhand, Rückabtretung und Beteiligung der Verkäuferin an späteren Zahlungen sind ausgeschlossen.</w:t>
      </w:r>
    </w:p>
    <w:p>
      <w:pPr>
        <w:pStyle w:val="Heading1"/>
      </w:pPr>
      <w:r>
        <w:t>5 Unterlagen und Anzeige</w:t>
      </w:r>
    </w:p>
    <w:p>
      <w:pPr/>
      <w:r>
        <w:t>Frau Zech übergibt eine Kopie des Darlehensvertrags und des Auszahlungsbelegs. Beide Parteien zeigen die Abtretung der Gesellschaft unverzüglich an. Herr Quast darf Stundungen und Vergleiche selbst vereinbaren.</w:t>
      </w:r>
    </w:p>
    <w:p>
      <w:pPr>
        <w:pStyle w:val="Heading1"/>
      </w:pPr>
      <w:r>
        <w:t>6 Schluss</w:t>
      </w:r>
    </w:p>
    <w:p>
      <w:pPr/>
      <w:r>
        <w:t>Mündliche Nebenabreden bestehen nicht. Änderungen bedürfen der Textform. Unterzeichnet in Köln von Kreszentia Zech und Rocco Quast.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Forderungskauf und Abtretung</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