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VeedelWende Mobility GmbH</w:t>
        <w:br/>
        <w:t>Geschäftsführerin Nala Seifert</w:t>
        <w:br/>
        <w:t>Klingelpütz 23, 50670 Köln</w:t>
      </w:r>
    </w:p>
    <w:p>
      <w:r>
        <w:t>Rocco Quast und Kreszentia Zech</w:t>
      </w:r>
    </w:p>
    <w:p>
      <w:r>
        <w:t>09.12.2024</w:t>
      </w:r>
    </w:p>
    <w:p>
      <w:pPr>
        <w:pStyle w:val="Title"/>
      </w:pPr>
      <w:r>
        <w:t>Bestätigung des Gläubigerwechsels</w:t>
      </w:r>
    </w:p>
    <w:p>
      <w:pPr>
        <w:pStyle w:val="Heading1"/>
      </w:pPr>
      <w:r>
        <w:t>1 Eingang</w:t>
      </w:r>
    </w:p>
    <w:p>
      <w:pPr/>
      <w:r>
        <w:t>Die VeedelWende Mobility GmbH bestätigt den Eingang der Abtretungsanzeige vom 7. Dezember 2024 sowie einer Kopie des Forderungskauf- und Abtretungsvertrags und des Kaufpreisbelegs.</w:t>
      </w:r>
    </w:p>
    <w:p>
      <w:pPr>
        <w:pStyle w:val="Heading1"/>
      </w:pPr>
      <w:r>
        <w:t>2 Kontenführung</w:t>
      </w:r>
    </w:p>
    <w:p>
      <w:pPr/>
      <w:r>
        <w:t>Die Gesellschaft führt Rocco Quast ab 3. Dezember 2024 als Gläubiger der Darlehensforderung über 96.000,00 EUR. Zahlungen mit schuldbefreiender Wirkung sollen nur an das von ihm benannte Konto erfolgen. Kreszentia Zech wird auf dem Kreditorenkonto mit null ausgewiesen.</w:t>
      </w:r>
    </w:p>
    <w:p>
      <w:pPr>
        <w:pStyle w:val="Heading1"/>
      </w:pPr>
      <w:r>
        <w:t>3 Keine zusätzlichen Zusagen</w:t>
      </w:r>
    </w:p>
    <w:p>
      <w:pPr/>
      <w:r>
        <w:t>Die Gesellschaft bestätigt nicht die Fälligkeit vor dem vertraglichen Termin und übernimmt keine Garantie für die Einbringlichkeit. Ein Einwendungs- oder Aufrechnungsverzicht wird nicht erklärt.</w:t>
      </w:r>
    </w:p>
    <w:p>
      <w:pPr/>
      <w:r>
        <w:t>Unterzeichnet: Nala Seifert, Geschäftsführerin.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Bestätigung des Gläubigerwechsels</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