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Alma Degenhart</w:t>
        <w:br/>
        <w:t>Insolvenzverwalterin VeedelWende Mobility GmbH</w:t>
        <w:br/>
        <w:t>Magnusstraße 18, 50672 Köln</w:t>
      </w:r>
    </w:p>
    <w:p>
      <w:r>
        <w:t>Interne Handakte</w:t>
      </w:r>
    </w:p>
    <w:p>
      <w:r>
        <w:t>12.08.2026</w:t>
      </w:r>
    </w:p>
    <w:p>
      <w:pPr>
        <w:pStyle w:val="Title"/>
      </w:pPr>
      <w:r>
        <w:t>Ermittlung zu einer fortbestehenden wirtschaftlichen Verbindung</w:t>
      </w:r>
    </w:p>
    <w:p>
      <w:pPr>
        <w:pStyle w:val="Heading1"/>
      </w:pPr>
      <w:r>
        <w:t>1 Gesicherte Tatsachen</w:t>
      </w:r>
    </w:p>
    <w:p>
      <w:pPr/>
      <w:r>
        <w:t>Frau Zech und Herr Quast kannten sich seit 2022 aus der Initiative Rad am Rhein. Herr Quast zahlte am 6. Dezember 2024 nachweislich 48.000,00 EUR aus eigenem Vermögen. Der Vertrag schließt Rückgriff, Treuhand und Erlösbeteiligung aus. Die Schuldnerin bestätigte den Gläubigerwechsel. Herr Quast war nie Gesellschafter, Geschäftsführer oder Arbeitnehmer der Schuldnerin.</w:t>
      </w:r>
    </w:p>
    <w:p>
      <w:pPr>
        <w:pStyle w:val="Heading1"/>
      </w:pPr>
      <w:r>
        <w:t>2 Verdachtsmomente</w:t>
      </w:r>
    </w:p>
    <w:p>
      <w:pPr/>
      <w:r>
        <w:t>Der Kaufpreis entsprach nur 50 Prozent des Nominalwerts. Frau Zech teilte Herrn Quast im März 2026 den erwarteten Fördermitteleingang mit. Sie äußerte Ärger über die Reihenfolge anderer Gläubiger. Herr Quast verlangte einen Tag später Zahlung.</w:t>
      </w:r>
    </w:p>
    <w:p>
      <w:pPr>
        <w:pStyle w:val="Heading1"/>
      </w:pPr>
      <w:r>
        <w:t>3 Fehlende Belege</w:t>
      </w:r>
    </w:p>
    <w:p>
      <w:pPr/>
      <w:r>
        <w:t>Es gibt bislang keinen Beleg für eine Rückzahlungsabrede zwischen Zech und Quast, keinen Anspruch der Zech auf den Erlös, keine Finanzierung des Kaufpreises durch Zech und keine Weiterleitung der 96.000,00 EUR. Die bekannten Tatsachen belegen eine Informationsweitergabe, aber keine Treuhand.</w:t>
      </w:r>
    </w:p>
    <w:p>
      <w:pPr>
        <w:pStyle w:val="Heading1"/>
      </w:pPr>
      <w:r>
        <w:t>4 Folgerung</w:t>
      </w:r>
    </w:p>
    <w:p>
      <w:pPr/>
      <w:r>
        <w:t>Eine wirtschaftliche Gleichstellung des Herrn Quast mit einer Gesellschafterfinanzierung ist derzeit nicht sicher darlegbar. Vor einer Klage sind Empfängerkonto, Kommunikation und mögliche Nebenabreden auf rechtlich zulässigem Weg weiter aufzuklären. Der nachfolgende Klageentwurf bildet eine bewusst aggressive, risikobehaftete Prozessposition und darf den Verdacht nicht als Gewissheit darstellen.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Ermittlung zu einer fortbestehenden wirtschaftlichen Verbindung</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