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Rechtsanwältin Dr. Alma Degenhart</w:t>
        <w:br/>
        <w:t>Insolvenzverwalterin VeedelWende Mobility GmbH</w:t>
        <w:br/>
        <w:t>Magnusstraße 18, 50672 Köln</w:t>
      </w:r>
    </w:p>
    <w:p>
      <w:r>
        <w:t>Gläubigerausschuss | vertraulich</w:t>
      </w:r>
    </w:p>
    <w:p>
      <w:r>
        <w:t>02.09.2026</w:t>
      </w:r>
    </w:p>
    <w:p>
      <w:pPr>
        <w:pStyle w:val="Title"/>
      </w:pPr>
      <w:r>
        <w:t>Prozessrisiko Zahlung an Zessionar Quast</w:t>
      </w:r>
    </w:p>
    <w:p>
      <w:pPr>
        <w:pStyle w:val="Heading1"/>
      </w:pPr>
      <w:r>
        <w:t>1 Kurzantwort</w:t>
      </w:r>
    </w:p>
    <w:p>
      <w:pPr/>
      <w:r>
        <w:t>Eine Klage allein aus Paragraf 135 Absatz 1 Nummer 2 InsO hat nach dem derzeitigen Belegstand geringe Erfolgsaussichten. Die Zahlung lag zwar zwei Monate vor dem Insolvenzantrag. Die echte Abtretung an den außenstehenden Erwerber lag aber bereits 18 Monate vor dem Antrag. Ein fortbestehendes wirtschaftliches Eigentum Frau Zechs ist nicht bewiesen.</w:t>
      </w:r>
    </w:p>
    <w:p>
      <w:pPr>
        <w:pStyle w:val="Heading1"/>
      </w:pPr>
      <w:r>
        <w:t>2 Entscheidung IX ZR 32/12</w:t>
      </w:r>
    </w:p>
    <w:p>
      <w:pPr/>
      <w:r>
        <w:t>Der Bundesgerichtshof hat im Urteil vom 21. Februar 2013, IX ZR 32/12, BGHZ 196, 220, Randnummern 24 bis 31, die zeitlich unbegrenzte Fortdauer des Nachrangs nach Aufgabe der Gesellschafterstellung oder Abtretung der Forderung als unangemessen bezeichnet. Auf Grundlage der in Paragraf 135 Absatz 1 Nummer 2 InsO ausgedrückten Wertung bleibt die Sonderbehandlung erhalten, wenn die maßgebliche Änderung innerhalb der Jahresfrist vor Antragstellung erfolgt. Bei einer Abtretung innerhalb dieser Frist und anschließender Zahlung kann auch der Zessionar Rückgewährschuldner sein. Die Entscheidung trägt gerade nicht ohne Weiteres eine Haftung des Zessionars nach einer bereits 18 Monate vor Antrag vollzogenen echten Abtretung.</w:t>
      </w:r>
    </w:p>
    <w:p>
      <w:pPr>
        <w:pStyle w:val="Heading1"/>
      </w:pPr>
      <w:r>
        <w:t>3 Entscheidung IX ZR 173/23</w:t>
      </w:r>
    </w:p>
    <w:p>
      <w:pPr/>
      <w:r>
        <w:t>BGH, Urteil vom 19. September 2024, IX ZR 173/23, ECLI:DE:BGH:2024:190924UIXZR173.23.0, stellt klar, dass eine Zahlung auf das Darlehen einer GmbH nicht allein deshalb gegenüber einem Gesellschafter der Schuldnerin anfechtbar ist, weil dieser zugleich maßgeblich an der darlehensgebenden Gesellschaft beteiligt ist und die Finanzierung veranlassen konnte. Die Entscheidung betrifft eine andere Beteiligungsstruktur. Ihr Maßstab warnt aber vor einer rein formelhaften wirtschaftlichen Gleichstellung ohne konkrete Finanzierungsverantwortung oder wirtschaftliche Belastung der in Anspruch genommenen Person.</w:t>
      </w:r>
    </w:p>
    <w:p>
      <w:pPr>
        <w:pStyle w:val="Heading1"/>
      </w:pPr>
      <w:r>
        <w:t>4 Anwendung</w:t>
      </w:r>
    </w:p>
    <w:p>
      <w:pPr/>
      <w:r>
        <w:t>Für einen echten Verkauf sprechen der schriftliche Vertrag, der gezahlte Kaufpreis aus eigenem Vermögen, das ausdrücklich übernommene Ausfallrisiko, der Gläubigerwechsel in der Buchhaltung und das Fehlen eines Rückflusses. Gegen einen völlig unabhängigen Ablauf sprechen der hälftige Kaufpreis, die persönliche Bekanntschaft und der Hinweis Frau Zechs auf Fördermittel. Diese Punkte beweisen jedoch keine Treuhand, Rückbeteiligung oder Finanzierung durch Frau Zech.</w:t>
      </w:r>
    </w:p>
    <w:p>
      <w:pPr>
        <w:pStyle w:val="Heading1"/>
      </w:pPr>
      <w:r>
        <w:t>5 Verfrühte Zahlung</w:t>
      </w:r>
    </w:p>
    <w:p>
      <w:pPr/>
      <w:r>
        <w:t>Herr Quast verlangte am 20. März 2026 Zahlung bis 3. April 2026. Die vertragliche Kündigungsfrist von vier Wochen endete erst am 17. April 2026; die Schuldnerin zahlte somit vor Fälligkeit. Das ist eine auffällige inkongruente Abwicklung und kann eine gesonderte Prüfung anderer Anfechtungstatbestände veranlassen. Für Paragraf 135 Absatz 1 Nummer 2 InsO beweist sie jedoch weder eine Treuhand noch eine fortbestehende wirtschaftliche Berechtigung Frau Zechs und überwindet deshalb die außerhalb der Jahresfrist vollzogene Abtretung nicht. Für eine zusätzliche Klagebegründung fehlen derzeit insbesondere gesondert geprüfte Tatsachen zur Zahlungsunfähigkeit und zur Kenntnis des Beklagten.</w:t>
      </w:r>
    </w:p>
    <w:p>
      <w:pPr>
        <w:pStyle w:val="Heading1"/>
      </w:pPr>
      <w:r>
        <w:t>6 Prozessoption</w:t>
      </w:r>
    </w:p>
    <w:p>
      <w:pPr/>
      <w:r>
        <w:t>Eine Klage kann nur als offen risikobehafteter Versuch vertretbar sein, durch konkret behauptete Indizien eine verdeckte wirtschaftliche Identität nachzuweisen. Nicht vertretbar wäre die Behauptung, der BGH habe jede Zahlung an jeden Zessionar innerhalb eines Jahres erfasst. Vor Einreichung sind Empfängerkonto und Nebenabreden weiter aufzuklären. Ohne neue Tatsachen ist eine Klagerücknahme oder ein Verzicht auf kostenträchtige Rechtsverfolgung ernsthaft zu erwägen.</w:t>
      </w:r>
    </w:p>
    <w:p>
      <w:pPr>
        <w:pStyle w:val="Heading1"/>
      </w:pPr>
      <w:r>
        <w:t>7 Freigabe</w:t>
      </w:r>
    </w:p>
    <w:p>
      <w:pPr/>
      <w:r>
        <w:t>Der beigefügte Klageentwurf ist ein Red-Team-Arbeitsprodukt. Er darf nur nach dokumentierter Kosten- und Prozessfreigabe eingereicht werden. Das Gericht ist auf die zeitlich ungünstige BGH-Linie nicht ungefragt durch falschen Vortrag zu täuschen; die Klägerin muss zwischen Tatsachen, Indizien und rechtlicher Schlussfolgerung sauber unterscheiden.</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Prozessrisiko Zahlung an Zessionar Quast</dc:title>
  <dc:subject/>
  <dc:creator>Klotzkette</dc:creator>
  <cp:keywords/>
  <dc:description>generated by python-docx</dc:description>
  <cp:lastModifiedBy>Klotzkette</cp:lastModifiedBy>
  <cp:revision>1</cp:revision>
  <dcterms:created xsi:type="dcterms:W3CDTF">2026-10-22T08:00:00Z</dcterms:created>
  <dcterms:modified xsi:type="dcterms:W3CDTF">2026-10-22T08:00:00Z</dcterms:modified>
  <cp:category/>
  <dc:language>de-DE</dc:language>
</cp:coreProperties>
</file>