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Dr. Alma Degenhart</w:t>
        <w:br/>
        <w:t>Insolvenzverwalterin VeedelWende Mobility GmbH</w:t>
        <w:br/>
        <w:t>Magnusstraße 18, 50672 Köln</w:t>
      </w:r>
    </w:p>
    <w:p>
      <w:r>
        <w:t>Landgericht Köln</w:t>
        <w:br/>
        <w:t>Luxemburger Straße 101, 50939 Köln</w:t>
      </w:r>
    </w:p>
    <w:p>
      <w:r>
        <w:t>10.09.2026</w:t>
      </w:r>
    </w:p>
    <w:p>
      <w:pPr>
        <w:pStyle w:val="Title"/>
      </w:pPr>
      <w:r>
        <w:t>Klageentwurf gegen Rocco Quast auf 96000 Euro</w:t>
      </w:r>
    </w:p>
    <w:p>
      <w:pPr>
        <w:pStyle w:val="Heading1"/>
      </w:pPr>
      <w:r>
        <w:t>1 Parteien und Antrag</w:t>
      </w:r>
    </w:p>
    <w:p>
      <w:pPr/>
      <w:r>
        <w:t>In dem Rechtsstreit der Rechtsanwältin Dr. Alma Degenhart, Magnusstraße 18, 50672 Köln, als Insolvenzverwalterin über das Vermögen der VeedelWende Mobility GmbH, Klägerin, gegen Herrn Rocco Quast, Roonstraße 62, 50674 Köln, Beklagter, wird beantragt, den Beklagten zu verurteilen, an die Klägerin 96.000,00 EUR nebst Zinsen in Höhe von fünf Prozentpunkten über dem Basiszinssatz seit dem 28. August 2026 zu zahlen. Der Beklagte soll die Kosten des Rechtsstreits tragen.</w:t>
      </w:r>
    </w:p>
    <w:p>
      <w:pPr>
        <w:pStyle w:val="Heading1"/>
      </w:pPr>
      <w:r>
        <w:t>2 Zuständigkeit und Verfahrensstellung</w:t>
      </w:r>
    </w:p>
    <w:p>
      <w:pPr/>
      <w:r>
        <w:t>Das Landgericht Köln ist aufgrund des Streitwerts und des Wohnsitzes des Beklagten zuständig. Die Klägerin wurde durch Beschluss des Amtsgerichts Köln vom 1. August 2026 zur Insolvenzverwalterin bestellt.</w:t>
      </w:r>
    </w:p>
    <w:p>
      <w:pPr/>
      <w:r>
        <w:t>Beweis: Eröffnungsbeschluss, Anlage K1.</w:t>
      </w:r>
    </w:p>
    <w:p>
      <w:pPr>
        <w:pStyle w:val="Heading1"/>
      </w:pPr>
      <w:r>
        <w:t>3 Ursprüngliches Gesellschafterdarlehen</w:t>
      </w:r>
    </w:p>
    <w:p>
      <w:pPr/>
      <w:r>
        <w:t>Kreszentia Zech hielt und hält 15 Prozent der Geschäftsanteile der Schuldnerin. Sie gewährte der Schuldnerin mit Vertrag vom 15. Mai 2023 ein Darlehen über 96.000,00 EUR und zahlte den Betrag am 18. Mai 2023 aus.</w:t>
      </w:r>
    </w:p>
    <w:p>
      <w:pPr/>
      <w:r>
        <w:t>Beweis: Gesellschafterliste, Anlage K2; Darlehensvertrag, Anlage K3; Überweisungsbeleg, Anlage K4.</w:t>
      </w:r>
    </w:p>
    <w:p>
      <w:pPr>
        <w:pStyle w:val="Heading1"/>
      </w:pPr>
      <w:r>
        <w:t>4 Forderungskauf und Abtretung</w:t>
      </w:r>
    </w:p>
    <w:p>
      <w:pPr/>
      <w:r>
        <w:t>Am 3. Dezember 2024 schlossen Frau Zech und der Beklagte einen als Forderungskauf und Abtretung bezeichneten Vertrag. Der Beklagte zahlte für die Forderung mit einem Nominalwert von 96.000,00 EUR lediglich 48.000,00 EUR. Die Abtretung wurde der Schuldnerin am 7. Dezember 2024 angezeigt und in ihrer Buchhaltung nachvollzogen.</w:t>
      </w:r>
    </w:p>
    <w:p>
      <w:pPr/>
      <w:r>
        <w:t>Beweis: Forderungskauf und Abtretung, Anlage K5; Kaufpreisbeleg, Anlage K6; Abtretungsanzeige, Anlage K7; Bestätigung der Schuldnerin, Anlage K8.</w:t>
      </w:r>
    </w:p>
    <w:p>
      <w:pPr/>
      <w:r>
        <w:t>Die Klägerin behauptet nicht, der Kaufpreis sei unbezahlt geblieben. Sie stützt ihre wirtschaftliche Gleichstellung auf die Gesamtheit der nachfolgenden Indizien.</w:t>
      </w:r>
    </w:p>
    <w:p>
      <w:pPr>
        <w:pStyle w:val="Heading1"/>
      </w:pPr>
      <w:r>
        <w:t>5 Indizien einer fortbestehenden Finanzierungsverantwortung</w:t>
      </w:r>
    </w:p>
    <w:p>
      <w:pPr/>
      <w:r>
        <w:t>Frau Zech und der Beklagte kannten sich aus der Initiative Rad am Rhein. Der Kaufpreis betrug nur die Hälfte des Nominalwerts. Kurz vor der Rückzahlung informierte Frau Zech den Beklagten über den erwarteten Fördermittelzufluss und äußerte, die Geschäftsführung bevorzuge andere Gläubiger. Am Folgetag verlangte der Beklagte die vollständige Rückzahlung. Nach Auffassung der Klägerin spricht diese abgestimmte Informations- und Zahlungsfolge dafür, dass Frau Zech den Zugriff auf die Forderung tatsächlich weiter steuerte und der Beklagte als wirtschaftlich verbundener Erwerber eingesetzt wurde.</w:t>
      </w:r>
    </w:p>
    <w:p>
      <w:pPr/>
      <w:r>
        <w:t>Beweis: Chat vom 19. März 2026, Anlage K9; Rückzahlungsanforderung vom 20. März 2026, Anlage K10.</w:t>
      </w:r>
    </w:p>
    <w:p>
      <w:pPr/>
      <w:r>
        <w:t>Die Klägerin verkennt nicht, dass der schriftliche Vertrag Rückgriff und Erlösbeteiligung ausschließt. Sie hält diese Klauseln angesichts der persönlichen Verbindung, des Abschlags und der späteren Koordination nicht für abschließend. Weitere Erkenntnisse zum Empfängerkonto werden nach zulässiger Beweiserhebung vorgelegt; eine bloße Ausforschung soll damit nicht beantragt werden.</w:t>
      </w:r>
    </w:p>
    <w:p>
      <w:pPr>
        <w:pStyle w:val="Heading1"/>
      </w:pPr>
      <w:r>
        <w:t>6 Rückzahlung und Fristen</w:t>
      </w:r>
    </w:p>
    <w:p>
      <w:pPr/>
      <w:r>
        <w:t>Die Schuldnerin zahlte am 3. April 2026 96.000,00 EUR an den Beklagten. Der Eigenantrag ging am 3. Juni 2026 ein. Die Zahlung lag somit zwei Monate vor dem Antrag, die Abtretung dagegen 18 Monate vor dem Antrag.</w:t>
      </w:r>
    </w:p>
    <w:p>
      <w:pPr/>
      <w:r>
        <w:t>Der Darlehensvertrag erlaubte nach Ende der festen Laufzeit eine Rückforderung mit vierwöchiger Frist. Auf die Kündigung vom 20. März 2026 lief diese Frist erst am 17. April 2026 ab. Die Schuldnerin zahlte dennoch bereits am 3. April 2026. Diese verfrühte Leistung ist ein auffälliger Teil der Zahlungsabwicklung. Sie wird nicht als Beweis einer nicht belegten Treuhand dargestellt.</w:t>
      </w:r>
    </w:p>
    <w:p>
      <w:pPr/>
      <w:r>
        <w:t>Beweis: Darlehensvertrag, Anlage K3; Rückzahlungsanforderung, Anlage K10; Kontoauszug, Anlage K11; Eingangsbestätigung des Insolvenzgerichts, Anlage K12.</w:t>
      </w:r>
    </w:p>
    <w:p>
      <w:pPr>
        <w:pStyle w:val="Heading1"/>
      </w:pPr>
      <w:r>
        <w:t>7 Rechtliche Bewertung</w:t>
      </w:r>
    </w:p>
    <w:p>
      <w:pPr>
        <w:pStyle w:val="Heading1"/>
      </w:pPr>
      <w:r>
        <w:t>7.1 Ausgangspunkt des Paragrafen 135 InsO</w:t>
      </w:r>
    </w:p>
    <w:p>
      <w:pPr/>
      <w:r>
        <w:t>Nach Paragraf 135 Absatz 1 Nummer 2 InsO ist eine Befriedigung auf eine Forderung auf Rückgewähr eines Gesellschafterdarlehens innerhalb eines Jahres vor dem Eröffnungsantrag anfechtbar. Die ursprüngliche Forderung stammte unstreitig aus dem Darlehen der mit 15 Prozent beteiligten Frau Zech. Die Schuldnerin zahlte innerhalb des Jahreszeitraums. Streitig ist allein, ob die mehr als ein Jahr zuvor an den Beklagten übertragene Forderung wirtschaftlich weiterhin dem Verantwortungsbereich der Gesellschafterin zuzurechnen ist.</w:t>
      </w:r>
    </w:p>
    <w:p>
      <w:pPr>
        <w:pStyle w:val="Heading1"/>
      </w:pPr>
      <w:r>
        <w:t>7.2 Zeitgrenze nach IX ZR 32/12</w:t>
      </w:r>
    </w:p>
    <w:p>
      <w:pPr/>
      <w:r>
        <w:t>Der Bundesgerichtshof hat für einen Wechsel der Gesellschafter- oder Gläubigerstellung innerhalb der Jahresfrist die insolvenzrechtliche Qualifikation fortwirken lassen. Er hat zugleich ausdrücklich begründet, dass ein zeitlich unbegrenzter Nachrang unangemessen wäre und die Fortwirkung an den Rechtsgedanken der Jahresfrist anknüpft, BGH, Urteil vom 21. Februar 2013, IX ZR 32/12, BGHZ 196, 220, Randnummern 24 bis 27. Der dort behandelte Sachverhalt trägt daher keine automatische Inanspruchnahme jedes Zessionars, der irgendwann eine Gesellschafterforderung erworben hat.</w:t>
      </w:r>
    </w:p>
    <w:p>
      <w:pPr/>
      <w:r>
        <w:t>Die Klägerin legt offen, dass die hier dokumentierte Abtretung 18 Monate vor dem Antrag und damit außerhalb jener Frist vollzogen wurde. Ihre Klage kann nur Erfolg haben, wenn der schriftliche Forderungsverkauf keine echte wirtschaftliche Entflechtung bewirkte oder die Zahlung aus anderen konkret bewiesenen Umständen weiterhin der Gesellschafterin zugerechnet werden muss. Das bloße Datum der Rückzahlung reicht dafür nicht.</w:t>
      </w:r>
    </w:p>
    <w:p>
      <w:pPr>
        <w:pStyle w:val="Heading1"/>
      </w:pPr>
      <w:r>
        <w:t>7.3 Behauptete verdeckte Zuordnung</w:t>
      </w:r>
    </w:p>
    <w:p>
      <w:pPr/>
      <w:r>
        <w:t>Die Klägerin meint, der vorliegende Fall unterscheide sich von einem endgültigen Forderungsverkauf. Der hälftige Kaufpreis, der fortdauernde Informationsfluss von Frau Zech, die unmittelbar nach ihrer Nachricht ausgesprochene Rückzahlungsforderung und die Zahlung vor Ablauf der Kündigungsfrist bilden nach ihrer Auffassung eine Indizienkette. Sie behauptet, Frau Zech habe den Zahlungszugriff weiterhin gesteuert und der Beklagte habe die Forderung wirtschaftlich für ihren Interessenbereich gehalten. Dafür trägt die Klägerin die Darlegungs- und Beweislast.</w:t>
      </w:r>
    </w:p>
    <w:p>
      <w:pPr/>
      <w:r>
        <w:t>Der Beklagte wird sich demgegenüber auf den schriftlichen Ausschluss von Rückgriff und Erlösbeteiligung, die nachgewiesene Zahlung aus eigenem Vermögen und das volle Ausfallrisiko berufen. Die Klägerin behauptet derzeit keinen unmittelbaren Rückfluss des Kaufpreises oder des Einziehungserlöses an Frau Zech. Der Preisabschlag kann ebenso gut das Insolvenz- und Laufzeitrisiko abbilden. Dass die Schuldnerin vor Ablauf der Kündigungsfrist zahlte, belegt keine wirtschaftliche Berechtigung Frau Zechs und ersetzt nicht die notwendige Zurechnung zum Beklagten.</w:t>
      </w:r>
    </w:p>
    <w:p>
      <w:pPr>
        <w:pStyle w:val="Heading1"/>
      </w:pPr>
      <w:r>
        <w:t>7.4 Grenze wirtschaftlicher Gleichstellung nach IX ZR 173/23</w:t>
      </w:r>
    </w:p>
    <w:p>
      <w:pPr/>
      <w:r>
        <w:t>BGH, Urteil vom 19. September 2024, IX ZR 173/23, ECLI:DE:BGH:2024:190924UIXZR173.23.0, Randnummern 26 bis 30 sowie 39 bis 41, verlangt konkrete Umstände für eine wirtschaftliche Zuordnung und lässt bloße Einflussmöglichkeiten oder Beteiligungsverbindungen nicht genügen. Die Entscheidung betrifft eine andere Finanzierungskonstellation und entscheidet den vorliegenden Zessionsfall nicht unmittelbar. Ihr Maßstab spricht jedoch gegen eine Gleichstellung, wenn nur Bekanntschaft, Preisabschlag und Informationsaustausch bewiesen werden.</w:t>
      </w:r>
    </w:p>
    <w:p>
      <w:pPr/>
      <w:r>
        <w:t>Die Klägerin stützt sich daher auf die behauptete Kombination der Indizien und beantragt keine Gleichstellung allein wegen der Bekanntschaft. Sie räumt ein, dass ohne weiteren Nachweis von Treuhand, Rückgriff, Finanzierung des Kaufpreises, Erlösbeteiligung oder fortbestehendem Verlustrisiko der Altgläubigerin ein erhebliches Klagerisiko verbleibt.</w:t>
      </w:r>
    </w:p>
    <w:p>
      <w:pPr>
        <w:pStyle w:val="Heading1"/>
      </w:pPr>
      <w:r>
        <w:t>7.5 Keine verdeckte Ausweichbegründung</w:t>
      </w:r>
    </w:p>
    <w:p>
      <w:pPr/>
      <w:r>
        <w:t>Die Klägerin macht mit diesem Entwurf keinen Anspruch aus den Paragrafen 131 oder 133 InsO geltend. Die verfrühte Zahlung, der niedrige Kaufpreis und die spätere Nachricht können eine gesonderte Prüfung veranlassen, belegen für sich aber weder die eigenständigen Voraussetzungen einer inkongruenten Deckung noch einen Gläubigerbenachteiligungsvorsatz der Schuldnerin und eine entsprechende Kenntnis des Beklagten. Eine Klageerweiterung bleibt ausgeschlossen, solange die hierfür erforderlichen Tatsachen nicht gesondert ermittelt, geprüft und freigegeben sind.</w:t>
      </w:r>
    </w:p>
    <w:p>
      <w:pPr>
        <w:pStyle w:val="Heading1"/>
      </w:pPr>
      <w:r>
        <w:t>8 Gläubigerbenachteiligung und Rechtsfolge</w:t>
      </w:r>
    </w:p>
    <w:p>
      <w:pPr/>
      <w:r>
        <w:t>Die Zahlung entzog der Schuldnerin 96.000,00 EUR Bankguthaben. Ein gleichwertiger Vermögenszufluss bei der Schuldnerin erfolgte nicht. Die Tilgung minderte lediglich die Passivseite und verringerte die den übrigen Gläubigern zugängliche Masse. Das genügt für die objektive Gläubigerbenachteiligung nach Paragraf 129 Absatz 1 InsO.</w:t>
      </w:r>
    </w:p>
    <w:p>
      <w:pPr/>
      <w:r>
        <w:t>Falls der Beklagte als wirtschaftlich gleichgestellter Empfänger der Gesellschafterfinanzierung einzuordnen ist, schuldet er nach Paragraf 143 Absatz 1 InsO die Rückgewähr. Nach Rückgewähr lebt die getilgte Forderung gemäß Paragraf 144 Absatz 1 InsO wieder auf und ist insolvenzrechtlich zu behandeln. Diese Rechtsfolge ersetzt jedoch nicht die vorgelagerte, hier besonders zweifelhafte Zurechnung zum Beklagten.</w:t>
      </w:r>
    </w:p>
    <w:p>
      <w:pPr>
        <w:pStyle w:val="Heading1"/>
      </w:pPr>
      <w:r>
        <w:t>9 Aufforderung und Zinsen</w:t>
      </w:r>
    </w:p>
    <w:p>
      <w:pPr/>
      <w:r>
        <w:t>Die Klägerin forderte den Beklagten mit Schreiben vom 13. August 2026 zur Zahlung bis 27. August 2026 auf. Die Bevollmächtigte des Beklagten lehnte die Rückzahlung am 26. August 2026 ab. Seit dem 28. August 2026 verlangt die Klägerin gesetzliche Verzugszinsen.</w:t>
      </w:r>
    </w:p>
    <w:p>
      <w:pPr/>
      <w:r>
        <w:t>Beweis: Aufforderung und Zahlungsspiegel, Anlagen K13 und K14; Übermittlungs-E-Mail, Anlage K15; Ablehnung vom 26. August 2026, Anlage K16.</w:t>
      </w:r>
    </w:p>
    <w:p>
      <w:pPr>
        <w:pStyle w:val="Heading1"/>
      </w:pPr>
      <w:r>
        <w:t>10 Beweisangebote und Einwendungen</w:t>
      </w:r>
    </w:p>
    <w:p>
      <w:pPr/>
      <w:r>
        <w:t>Die Klägerin bietet für Abschluss und Vollzug des Forderungskaufs die vorgelegten Urkunden an. Für die Kommunikation vor der Rückzahlung benennt sie Frau Kreszentia Zech und die Geschäftsführerin Nala Seifert als Zeuginnen. Die Vernehmung soll die konkret behauptete Informationsweitergabe klären; sie darf nicht dazu dienen, ohne greifbare Anknüpfungstatsachen erst nach einer Treuhandabrede zu suchen.</w:t>
      </w:r>
    </w:p>
    <w:p>
      <w:pPr/>
      <w:r>
        <w:t>Der Beklagte hat den Kaufpreisbeleg vorgelegt. Bestreitet die Klägerin dessen wirtschaftliche Herkunft oder behauptet sie einen Rückfluss, muss sie hierfür konkrete Tatsachen vortragen. Der bislang bekannte Chat enthält auch entlastende Äußerungen des Beklagten. Diese sind vollständig und nicht nur auszugsweise vorzulegen.</w:t>
      </w:r>
    </w:p>
    <w:p>
      <w:pPr>
        <w:pStyle w:val="Heading1"/>
      </w:pPr>
      <w:r>
        <w:t>11 Hinweis zum Entwurfsstand</w:t>
      </w:r>
    </w:p>
    <w:p>
      <w:pPr/>
      <w:r>
        <w:t>Dieser Schriftsatz ist ein nicht eingereichter Klageentwurf. Vor Einreichung sind die im internen Risikomemo bezeichneten Tatsachenlücken zu schließen und eine namentliche Kostenfreigabe einzuholen. Ohne neuen Nachweis einer verdeckten wirtschaftlichen Verbindung ist mit einer Klageabweisung zu rechnen. Der Umstand, dass die Klägerin eine offensive Argumentation wünscht, rechtfertigt weder die Verkürzung der gegenläufigen Rechtsprechung noch eine unbelegte Tatsachenbehauptung.</w:t>
      </w:r>
    </w:p>
    <w:p>
      <w:pPr/>
      <w:r>
        <w:t>Dr. Alma Degenhart</w:t>
        <w:br/>
        <w:t>Rechtsanwältin als Insolvenzverwalterin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Klageentwurf gegen Rocco Quast auf 96000 Euro</dc:title>
  <dc:subject/>
  <dc:creator>Klotzkette</dc:creator>
  <cp:keywords/>
  <dc:description>generated by python-docx</dc:description>
  <cp:lastModifiedBy>Klotzkette</cp:lastModifiedBy>
  <cp:revision>1</cp:revision>
  <dcterms:created xsi:type="dcterms:W3CDTF">2026-10-22T08:00:00Z</dcterms:created>
  <dcterms:modified xsi:type="dcterms:W3CDTF">2026-10-22T08:00:00Z</dcterms:modified>
  <cp:category/>
  <dc:language>de-DE</dc:language>
</cp:coreProperties>
</file>