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Rechtsanwältin Dr. Alma Degenhart</w:t>
        <w:br/>
        <w:t>Insolvenzverwalterin VeedelWende Mobility GmbH</w:t>
        <w:br/>
        <w:t>Magnusstraße 18, 50672 Köln</w:t>
      </w:r>
    </w:p>
    <w:p>
      <w:r>
        <w:t>Landgericht Köln</w:t>
      </w:r>
    </w:p>
    <w:p>
      <w:r>
        <w:t>10.09.2026</w:t>
      </w:r>
    </w:p>
    <w:p>
      <w:pPr>
        <w:pStyle w:val="Title"/>
      </w:pPr>
      <w:r>
        <w:t>Anlagenverzeichnis zum Klageentwurf Quast</w:t>
      </w:r>
    </w:p>
    <w:p>
      <w:pPr/>
      <w:r>
        <w:t>K1 Eröffnungsbeschluss des Amtsgerichts Köln vom 1. August 2026.</w:t>
      </w:r>
    </w:p>
    <w:p>
      <w:pPr/>
      <w:r>
        <w:t>K2 Gesellschafterliste der VeedelWende Mobility GmbH.</w:t>
      </w:r>
    </w:p>
    <w:p>
      <w:pPr/>
      <w:r>
        <w:t>K3 Darlehensvertrag Zech vom 15. Mai 2023.</w:t>
      </w:r>
    </w:p>
    <w:p>
      <w:pPr/>
      <w:r>
        <w:t>K4 Überweisungsbeleg der Darlehensauszahlung vom 18. Mai 2023.</w:t>
      </w:r>
    </w:p>
    <w:p>
      <w:pPr/>
      <w:r>
        <w:t>K5 Forderungskauf und Abtretung vom 3. Dezember 2024.</w:t>
      </w:r>
    </w:p>
    <w:p>
      <w:pPr/>
      <w:r>
        <w:t>K6 Kaufpreiszahlung des Beklagten vom 6. Dezember 2024.</w:t>
      </w:r>
    </w:p>
    <w:p>
      <w:pPr/>
      <w:r>
        <w:t>K7 Abtretungsanzeige vom 7. Dezember 2024.</w:t>
      </w:r>
    </w:p>
    <w:p>
      <w:pPr/>
      <w:r>
        <w:t>K8 Bestätigung des Gläubigerwechsels vom 9. Dezember 2024.</w:t>
      </w:r>
    </w:p>
    <w:p>
      <w:pPr/>
      <w:r>
        <w:t>K9 Chat Zech und Quast vom 19. März 2026.</w:t>
      </w:r>
    </w:p>
    <w:p>
      <w:pPr/>
      <w:r>
        <w:t>K10 Rückzahlungsanforderung des Beklagten vom 20. März 2026.</w:t>
      </w:r>
    </w:p>
    <w:p>
      <w:pPr/>
      <w:r>
        <w:t>K11 Kontoauszug über die Zahlung vom 3. April 2026.</w:t>
      </w:r>
    </w:p>
    <w:p>
      <w:pPr/>
      <w:r>
        <w:t>K12 Eingangsbestätigung zum Insolvenzantrag vom 3. Juni 2026.</w:t>
      </w:r>
    </w:p>
    <w:p>
      <w:pPr/>
      <w:r>
        <w:t>K13 Aufforderungsschreiben vom 13. August 2026.</w:t>
      </w:r>
    </w:p>
    <w:p>
      <w:pPr/>
      <w:r>
        <w:t>K14 Zahlungsspiegel als Anlage zum Aufforderungsschreiben.</w:t>
      </w:r>
    </w:p>
    <w:p>
      <w:pPr/>
      <w:r>
        <w:t>K15 E-Mail-Übermittlung vom 13. August 2026.</w:t>
      </w:r>
    </w:p>
    <w:p>
      <w:pPr/>
      <w:r>
        <w:t>K16 Ablehnung der Prozessbevollmächtigten vom 26. August 2026.</w:t>
      </w:r>
    </w:p>
    <w:p>
      <w:pPr/>
      <w:r>
        <w:t>Vor Einreichung ist zu kontrollieren, ob K5 und K6 vollständig und lesbar sind. Das interne Risikomemo ist keine Klageanlage und darf nicht versehentlich eingereicht werden.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4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4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54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54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254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Anlagenverzeichnis zum Klageentwurf Quast</dc:title>
  <dc:subject/>
  <dc:creator>Klotzkette</dc:creator>
  <cp:keywords/>
  <dc:description>generated by python-docx</dc:description>
  <cp:lastModifiedBy>Klotzkette</cp:lastModifiedBy>
  <cp:revision>1</cp:revision>
  <dcterms:created xsi:type="dcterms:W3CDTF">2026-10-22T08:00:00Z</dcterms:created>
  <dcterms:modified xsi:type="dcterms:W3CDTF">2026-10-22T08:00:00Z</dcterms:modified>
  <cp:category/>
  <dc:language>de-DE</dc:language>
</cp:coreProperties>
</file>