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Rechtsanwältin Malvina Reuth</w:t>
        <w:br/>
        <w:t>Kanzlei Reuth | Antwerpener Straße 11, 50672 Köln</w:t>
      </w:r>
    </w:p>
    <w:p>
      <w:r>
        <w:t>Landgericht Köln</w:t>
        <w:br/>
        <w:t>Luxemburger Straße 101, 50939 Köln</w:t>
      </w:r>
    </w:p>
    <w:p>
      <w:r>
        <w:t>30.09.2026</w:t>
      </w:r>
    </w:p>
    <w:p>
      <w:pPr>
        <w:pStyle w:val="Title"/>
      </w:pPr>
      <w:r>
        <w:t>Klageerwiderung Quast gegen Insolvenzverwalterin VeedelWende</w:t>
      </w:r>
    </w:p>
    <w:p>
      <w:pPr>
        <w:pStyle w:val="Heading1"/>
      </w:pPr>
      <w:r>
        <w:t>1 Antrag</w:t>
      </w:r>
    </w:p>
    <w:p>
      <w:pPr/>
      <w:r>
        <w:t>Namens und in Vollmacht des Beklagten wird beantragt, die Klage abzuweisen und der Klägerin die Kosten des Rechtsstreits aufzuerlegen.</w:t>
      </w:r>
    </w:p>
    <w:p>
      <w:pPr>
        <w:pStyle w:val="Heading1"/>
      </w:pPr>
      <w:r>
        <w:t>2 Unstreitiger Sachverhalt</w:t>
      </w:r>
    </w:p>
    <w:p>
      <w:pPr/>
      <w:r>
        <w:t>Der Beklagte bestreitet nicht, dass Kreszentia Zech der Schuldnerin 2023 ein Darlehen über 96.000,00 EUR gewährte und damals mit 15 Prozent beteiligt war. Er bestreitet auch nicht die Zahlung der Schuldnerin vom 3. April 2026. Entscheidend ist jedoch, dass der Beklagte die Forderung bereits am 3. Dezember 2024, also 18 Monate vor dem Insolvenzantrag, wirksam und wirtschaftlich endgültig erwarb.</w:t>
      </w:r>
    </w:p>
    <w:p>
      <w:pPr>
        <w:pStyle w:val="Heading1"/>
      </w:pPr>
      <w:r>
        <w:t>3 Vollzogener Forderungskauf</w:t>
      </w:r>
    </w:p>
    <w:p>
      <w:pPr/>
      <w:r>
        <w:t>Der Beklagte zahlte am 6. Dezember 2024 aus eigenem Vermögen 48.000,00 EUR. Er trug ab diesem Zeitpunkt das gesamte Ausfallrisiko. Der Vertrag schließt Rückgriff, Treuhand, Rückabtretung und Erlösbeteiligung der Veräußerin ausdrücklich aus. Die Schuldnerin bestätigte den Gläubigerwechsel und führte Frau Zech mit null. Der Preisabschlag erklärt sich aus Laufzeit und Ausfallrisiko; er beweist keine verdeckte Treuhand.</w:t>
      </w:r>
    </w:p>
    <w:p>
      <w:pPr/>
      <w:r>
        <w:t>Beweis: Forderungskauf und Abtretung, Anlage B1; Kaufpreiszahlung, Anlage B2; Bestätigung der Schuldnerin, Anlage B3.</w:t>
      </w:r>
    </w:p>
    <w:p>
      <w:pPr>
        <w:pStyle w:val="Heading1"/>
      </w:pPr>
      <w:r>
        <w:t>4 Keine Gesellschafterstellung des Beklagten</w:t>
      </w:r>
    </w:p>
    <w:p>
      <w:pPr/>
      <w:r>
        <w:t>Der Beklagte war nie an der Schuldnerin beteiligt, führte ihre Geschäfte nicht und besaß keine Stimmrechts- oder Bankvollmacht. Seine Bekanntschaft mit Frau Zech aus einer Fahrradinitiative begründet keine gesellschaftsrechtliche oder wirtschaftliche Identität.</w:t>
      </w:r>
    </w:p>
    <w:p>
      <w:pPr>
        <w:pStyle w:val="Heading1"/>
      </w:pPr>
      <w:r>
        <w:t>5 Zeitliche Grenze nach IX ZR 32/12</w:t>
      </w:r>
    </w:p>
    <w:p>
      <w:pPr/>
      <w:r>
        <w:t>BGH, Urteil vom 21. Februar 2013, IX ZR 32/12, BGHZ 196, 220, Randnummern 24 bis 31, begrenzt die Fortwirkung der besonderen Gesellschafterfinanzierungsregeln. Ein zeitlich unbegrenzter Nachrang nach Aufgabe der Doppelrolle wäre unangemessen. Der Bundesgerichtshof knüpft die Fortwirkung an die Jahresfrist des Paragrafen 135 Absatz 1 Nummer 2 InsO. Die dort bejahte Einstandspflicht des Zessionars betraf eine Abtretung innerhalb dieses Jahres. Hier war die Forderung bereits 18 Monate vor Antragstellung endgültig aus dem Vermögen und Risiko der Gesellschafterin ausgeschieden.</w:t>
      </w:r>
    </w:p>
    <w:p>
      <w:pPr/>
      <w:r>
        <w:t>Die Klägerin räumt diese Abweichung selbst ein. Ihre Behauptung einer nur formalen Zwischenschaltung ist nicht durch Tatsachen getragen.</w:t>
      </w:r>
    </w:p>
    <w:p>
      <w:pPr>
        <w:pStyle w:val="Heading1"/>
      </w:pPr>
      <w:r>
        <w:t>6 Grenze wirtschaftlicher Gleichstellung nach IX ZR 173/23</w:t>
      </w:r>
    </w:p>
    <w:p>
      <w:pPr/>
      <w:r>
        <w:t>BGH, Urteil vom 19. September 2024, IX ZR 173/23, ECLI:DE:BGH:2024:190924UIXZR173.23.0, stellt klar, dass selbst eine maßgebliche Einflussmöglichkeit eines Gesellschafters auf einen Darlehensgeber nicht allein genügt, um die Zahlung als anfechtbar gegenüber dem Gesellschafter zu behandeln. Erforderlich sind tragfähige Umstände, welche die Finanzierung wirtschaftlich tatsächlich dem in Anspruch Genommenen zuordnen. Erst recht genügen hier weder Bekanntschaft noch Informationsaustausch, um einen außenstehenden Erwerber zum Gesellschafter zu machen.</w:t>
      </w:r>
    </w:p>
    <w:p>
      <w:pPr>
        <w:pStyle w:val="Heading1"/>
      </w:pPr>
      <w:r>
        <w:t>7 Würdigung der Indizien</w:t>
      </w:r>
    </w:p>
    <w:p>
      <w:pPr/>
      <w:r>
        <w:t>Der hälftige Kaufpreis war das Ergebnis eines echten Risikokaufs. Frau Zechs Hinweis auf einen möglichen Fördermittelzufluss war eine unverbindliche Information. Im Chat erklärte der Beklagte ausdrücklich, selbst zu entscheiden, und wies Frau Zech an, nicht für ihn zu verhandeln. Frau Zech bestätigte, keinen Anteil am Erlös zu beanspruchen. Die Klägerin hat keinen Rückfluss, keinen Treuhandauftrag und keine Finanzierung des Kaufpreises behauptet, die über bloße Vermutungen hinausgingen.</w:t>
      </w:r>
    </w:p>
    <w:p>
      <w:pPr/>
      <w:r>
        <w:t>Beweis: vollständiger Chat vom 19. März 2026, Anlage B4; Zeugnis der Kreszentia Zech, Dagobertstraße 35, 50668 Köln.</w:t>
      </w:r>
    </w:p>
    <w:p>
      <w:pPr>
        <w:pStyle w:val="Heading1"/>
      </w:pPr>
      <w:r>
        <w:t>8 Zahlung vor Ablauf der Kündigungsfrist</w:t>
      </w:r>
    </w:p>
    <w:p>
      <w:pPr/>
      <w:r>
        <w:t>Der Beklagte verlangte am 20. März 2026 Zahlung bis 3. April 2026, obwohl die vertragliche Vierwochenfrist erst am 17. April 2026 endete. Dass die Geschäftsführung gleichwohl früher zahlte, kann eine gesonderte insolvenzrechtliche Prüfung der Leistung veranlassen. Es macht den Beklagten aber weder zum Gesellschafter noch zum Treuhänder Frau Zechs. Die Klägerin legt für andere Anfechtungstatbestände keine vollständig geprüften Voraussetzungen dar; insbesondere ersetzt die verfrühte Zahlung weder Vortrag zur Zahlungsunfähigkeit noch zur Kenntnis des Beklagten.</w:t>
      </w:r>
    </w:p>
    <w:p>
      <w:pPr>
        <w:pStyle w:val="Heading1"/>
      </w:pPr>
      <w:r>
        <w:t>9 Keine Ausforschung</w:t>
      </w:r>
    </w:p>
    <w:p>
      <w:pPr/>
      <w:r>
        <w:t>Die angekündigte Vorlage weiterer Erkenntnisse ersetzt keinen schlüssigen Tatsachenvortrag. Eine Kontenoffenlegung ohne konkrete Anknüpfungstatsachen kann nicht dazu dienen, eine nicht behauptbare Treuhand erst zu suchen. Der Beklagte hat gleichwohl den Kaufpreisbeleg und den Vertrag vorprozessual freiwillig vorgelegt.</w:t>
      </w:r>
    </w:p>
    <w:p>
      <w:pPr>
        <w:pStyle w:val="Heading1"/>
      </w:pPr>
      <w:r>
        <w:t>10 Ergebnis</w:t>
      </w:r>
    </w:p>
    <w:p>
      <w:pPr/>
      <w:r>
        <w:t>Paragraf 135 Absatz 1 Nummer 2 InsO erfasst die Zahlung an den Beklagten im vorliegenden Fall nicht. Die Forderung war mehr als ein Jahr vor dem Antrag wirksam und wirtschaftlich endgültig auf einen außenstehenden Dritten übergegangen. Andere Anfechtungstatbestände sind nicht schlüssig dargelegt. Die Klage ist abzuweisen.</w:t>
      </w:r>
    </w:p>
    <w:p>
      <w:pPr/>
      <w:r>
        <w:t>Malvina Reuth</w:t>
        <w:br/>
        <w:t>Rechtsanwältin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Klageerwiderung Quast gegen Insolvenzverwalterin VeedelWende</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