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Verfahrensübersicht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Mainbogen Laborsoftware GmbH – 15 IN 287/18</w:t>
      </w:r>
    </w:p>
    <w:p>
      <w:pPr>
        <w:pStyle w:val="Heading1"/>
      </w:pPr>
      <w:r>
        <w:t>1. Verfahrenseckdaten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Schuldnerin</w:t>
            </w:r>
          </w:p>
        </w:tc>
        <w:tc>
          <w:tcPr>
            <w:tcW w:type="dxa" w:w="4844"/>
            <w:vAlign w:val="top"/>
          </w:tcPr>
          <w:p>
            <w:r>
              <w:t>Mainbogen Laborsoftware GmbH, Veitshöchheimer Straße 14, 97080 Würzburg</w:t>
            </w:r>
          </w:p>
        </w:tc>
      </w:tr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Register</w:t>
            </w:r>
          </w:p>
        </w:tc>
        <w:tc>
          <w:tcPr>
            <w:tcW w:type="dxa" w:w="4844"/>
            <w:vAlign w:val="top"/>
          </w:tcPr>
          <w:p>
            <w:r>
              <w:t>HRB 12984, Amtsgericht Würzburg</w:t>
            </w:r>
          </w:p>
        </w:tc>
      </w:tr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Insolvenzgericht</w:t>
            </w:r>
          </w:p>
        </w:tc>
        <w:tc>
          <w:tcPr>
            <w:tcW w:type="dxa" w:w="4844"/>
            <w:vAlign w:val="top"/>
          </w:tcPr>
          <w:p>
            <w:r>
              <w:t>Amtsgericht Würzburg – Insolvenzgericht</w:t>
            </w:r>
          </w:p>
        </w:tc>
      </w:tr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Aktenzeichen</w:t>
            </w:r>
          </w:p>
        </w:tc>
        <w:tc>
          <w:tcPr>
            <w:tcW w:type="dxa" w:w="4844"/>
            <w:vAlign w:val="top"/>
          </w:tcPr>
          <w:p>
            <w:r>
              <w:t>15 IN 287/18</w:t>
            </w:r>
          </w:p>
        </w:tc>
      </w:tr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Geschäftsführer</w:t>
            </w:r>
          </w:p>
        </w:tc>
        <w:tc>
          <w:tcPr>
            <w:tcW w:type="dxa" w:w="4844"/>
            <w:vAlign w:val="top"/>
          </w:tcPr>
          <w:p>
            <w:r>
              <w:t>Leopold Krautwurm</w:t>
            </w:r>
          </w:p>
        </w:tc>
      </w:tr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Insolvenzverwalterin</w:t>
            </w:r>
          </w:p>
        </w:tc>
        <w:tc>
          <w:tcPr>
            <w:tcW w:type="dxa" w:w="4844"/>
            <w:vAlign w:val="top"/>
          </w:tcPr>
          <w:p>
            <w:r>
              <w:t>Rechtsanwältin Dr. Kunigunde Haberkorn, Haberkorn Insolvenzverwaltung, Paradeplatz 7, 97070 Würzburg</w:t>
            </w:r>
          </w:p>
        </w:tc>
      </w:tr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Gläubigerantrag</w:t>
            </w:r>
          </w:p>
        </w:tc>
        <w:tc>
          <w:tcPr>
            <w:tcW w:type="dxa" w:w="4844"/>
            <w:vAlign w:val="top"/>
          </w:tcPr>
          <w:p>
            <w:r>
              <w:t>17. Juli 2018</w:t>
            </w:r>
          </w:p>
        </w:tc>
      </w:tr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Eigenantrag</w:t>
            </w:r>
          </w:p>
        </w:tc>
        <w:tc>
          <w:tcPr>
            <w:tcW w:type="dxa" w:w="4844"/>
            <w:vAlign w:val="top"/>
          </w:tcPr>
          <w:p>
            <w:r>
              <w:t>7. August 2018</w:t>
            </w:r>
          </w:p>
        </w:tc>
      </w:tr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Vorläufige Verwaltung</w:t>
            </w:r>
          </w:p>
        </w:tc>
        <w:tc>
          <w:tcPr>
            <w:tcW w:type="dxa" w:w="4844"/>
            <w:vAlign w:val="top"/>
          </w:tcPr>
          <w:p>
            <w:r>
              <w:t>20. Juli 2018</w:t>
            </w:r>
          </w:p>
        </w:tc>
      </w:tr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Eröffnung</w:t>
            </w:r>
          </w:p>
        </w:tc>
        <w:tc>
          <w:tcPr>
            <w:tcW w:type="dxa" w:w="4844"/>
            <w:vAlign w:val="top"/>
          </w:tcPr>
          <w:p>
            <w:r>
              <w:t>1. Oktober 2018</w:t>
            </w:r>
          </w:p>
        </w:tc>
      </w:tr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Unternehmensgegenstand</w:t>
            </w:r>
          </w:p>
        </w:tc>
        <w:tc>
          <w:tcPr>
            <w:tcW w:type="dxa" w:w="4844"/>
            <w:vAlign w:val="top"/>
          </w:tcPr>
          <w:p>
            <w:r>
              <w:t>Entwicklung, Einführung und Wartung von Laborinformationssoftware sowie Schnittstellen für Messgeräte in Lebensmittel- und Umweltlaboren</w:t>
            </w:r>
          </w:p>
        </w:tc>
      </w:tr>
    </w:tbl>
    <w:p>
      <w:pPr>
        <w:pStyle w:val="Heading1"/>
      </w:pPr>
      <w:r>
        <w:t>2. Arbeitsauftrag</w:t>
      </w:r>
    </w:p>
    <w:p>
      <w:r>
        <w:t>Ordnen Sie die Akte zunächst nach Berichtszeitpunkt, Quelle und Zahlenstand. Erstellen Sie danach einen belastbaren Zwischenbericht oder, wenn alle Abschlussvoraussetzungen belegt sind, einen Schlussbericht nebst Anlagen- und Zahlenkontrolle.</w:t>
      </w:r>
    </w:p>
    <w:p>
      <w:r>
        <w:t>Kennzeichnen Sie jede nicht belegte Aussage als offen. Ein Berichtsentwurf ersetzt weder die gerichtliche Zustimmung zur Schlussverteilung noch die Prüfung der Schlussrechnung. Außenwirkung und Einreichung bedürfen einer dokumentierten menschlichen Freigabe.</w:t>
      </w:r>
    </w:p>
    <w:p>
      <w:pPr>
        <w:pStyle w:val="Heading1"/>
      </w:pPr>
      <w:r>
        <w:t>3. Kontrollzahlen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Gesamteinnahmen</w:t>
            </w:r>
          </w:p>
        </w:tc>
        <w:tc>
          <w:tcPr>
            <w:tcW w:type="dxa" w:w="4844"/>
            <w:vAlign w:val="top"/>
          </w:tcPr>
          <w:p>
            <w:r>
              <w:t>2.184.650,00 EUR</w:t>
            </w:r>
          </w:p>
        </w:tc>
      </w:tr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Gesamtausgaben bis Berichtsstichtag</w:t>
            </w:r>
          </w:p>
        </w:tc>
        <w:tc>
          <w:tcPr>
            <w:tcW w:type="dxa" w:w="4844"/>
            <w:vAlign w:val="top"/>
          </w:tcPr>
          <w:p>
            <w:r>
              <w:t>1.643.292,40 EUR</w:t>
            </w:r>
          </w:p>
        </w:tc>
      </w:tr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Kontenbestand</w:t>
            </w:r>
          </w:p>
        </w:tc>
        <w:tc>
          <w:tcPr>
            <w:tcW w:type="dxa" w:w="4844"/>
            <w:vAlign w:val="top"/>
          </w:tcPr>
          <w:p>
            <w:r>
              <w:t>541.357,60 EUR</w:t>
            </w:r>
          </w:p>
        </w:tc>
      </w:tr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Noch zu deckende Kosten und Rückstellungen</w:t>
            </w:r>
          </w:p>
        </w:tc>
        <w:tc>
          <w:tcPr>
            <w:tcW w:type="dxa" w:w="4844"/>
            <w:vAlign w:val="top"/>
          </w:tcPr>
          <w:p>
            <w:r>
              <w:t>115.927,60 EUR</w:t>
            </w:r>
          </w:p>
        </w:tc>
      </w:tr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Für die Schlussverteilung verfügbar</w:t>
            </w:r>
          </w:p>
        </w:tc>
        <w:tc>
          <w:tcPr>
            <w:tcW w:type="dxa" w:w="4844"/>
            <w:vAlign w:val="top"/>
          </w:tcPr>
          <w:p>
            <w:r>
              <w:t>425.430,00 EUR</w:t>
            </w:r>
          </w:p>
        </w:tc>
      </w:tr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Festgestellte Forderungen</w:t>
            </w:r>
          </w:p>
        </w:tc>
        <w:tc>
          <w:tcPr>
            <w:tcW w:type="dxa" w:w="4844"/>
            <w:vAlign w:val="top"/>
          </w:tcPr>
          <w:p>
            <w:r>
              <w:t>1.685.971,56 EUR</w:t>
            </w:r>
          </w:p>
        </w:tc>
      </w:tr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Rechnerische Quote</w:t>
            </w:r>
          </w:p>
        </w:tc>
        <w:tc>
          <w:tcPr>
            <w:tcW w:type="dxa" w:w="4844"/>
            <w:vAlign w:val="top"/>
          </w:tcPr>
          <w:p>
            <w:r>
              <w:t>25,2335 Prozent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91" w:right="1247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Testakte insolvenzverwaltung-mainbogen-laborsoftware-wuerzburg | fiktiv | Seite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