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4. Zwischenbericht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15 IN 287/18 – 30. September 2025</w:t>
      </w:r>
    </w:p>
    <w:p>
      <w:pPr>
        <w:pStyle w:val="Heading1"/>
      </w:pPr>
      <w:r>
        <w:t>1. Berichtsauftrag und Berichtszeitraum</w:t>
      </w:r>
    </w:p>
    <w:p>
      <w:r>
        <w:t>Die Unterzeichnerin berichtet auf Anforderung des Insolvenzgerichts über den Sachstand bis zum 30. September 2025. Der Bericht schreibt den letzten bestätigten Zahlenstand fort. Er ersetzt keine Zwischenrechnung nach § 66 Absatz 3 InsO, soweit eine solche nicht gesondert angefordert wird.</w:t>
      </w:r>
    </w:p>
    <w:p>
      <w:r>
        <w:t>Jede Aussage beruht auf den bezeichneten Aktenstücken. Prognosen sind als solche gekennzeichnet; ungeklärte Vorgänge werden nicht als erledigt dargestellt.</w:t>
      </w:r>
    </w:p>
    <w:p>
      <w:pPr>
        <w:pStyle w:val="Heading1"/>
      </w:pPr>
      <w:r>
        <w:t>2. Verfahrensstand</w:t>
      </w:r>
    </w:p>
    <w:p>
      <w:r>
        <w:t>Der D&amp;O-Vergleich ist vollständig erfüllt. Die Außenprüfung ist beendet; der geänderte Steuerbescheid liegt vor. Vor Abschluss fehlen Zahlungseingang, Rechtsbehelfsstatus und der finale Kontenabgleich.</w:t>
      </w:r>
    </w:p>
    <w:p>
      <w:pPr>
        <w:pStyle w:val="Heading1"/>
      </w:pPr>
      <w:r>
        <w:t>3. Masse und Konten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Berichtsstichtag</w:t>
            </w:r>
          </w:p>
        </w:tc>
        <w:tc>
          <w:tcPr>
            <w:tcW w:type="dxa" w:w="4844"/>
            <w:vAlign w:val="top"/>
          </w:tcPr>
          <w:p>
            <w:r>
              <w:t>30. September 2025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Liquider Bestand laut Verfahrenskonto</w:t>
            </w:r>
          </w:p>
        </w:tc>
        <w:tc>
          <w:tcPr>
            <w:tcW w:type="dxa" w:w="4844"/>
            <w:vAlign w:val="top"/>
          </w:tcPr>
          <w:p>
            <w:r>
              <w:t>482.957,60 EUR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Kontenabgleich</w:t>
            </w:r>
          </w:p>
        </w:tc>
        <w:tc>
          <w:tcPr>
            <w:tcW w:type="dxa" w:w="4844"/>
            <w:vAlign w:val="top"/>
          </w:tcPr>
          <w:p>
            <w:r>
              <w:t>Bankauszug, Hauptbuch und Belegmatrix wurden stichtagsbezogen abgestimmt; spätere Buchungen sind ausgeschlossen.</w:t>
            </w:r>
          </w:p>
        </w:tc>
      </w:tr>
      <w:tr>
        <w:tc>
          <w:tcPr>
            <w:tcW w:type="dxa" w:w="4844"/>
            <w:vAlign w:val="top"/>
            <w:shd w:fill="D9EAF7"/>
          </w:tcPr>
          <w:p>
            <w:r>
              <w:rPr>
                <w:b/>
              </w:rPr>
              <w:t>Verteilungsreife</w:t>
            </w:r>
          </w:p>
        </w:tc>
        <w:tc>
          <w:tcPr>
            <w:tcW w:type="dxa" w:w="4844"/>
            <w:vAlign w:val="top"/>
          </w:tcPr>
          <w:p>
            <w:r>
              <w:t>Noch nicht gegeben; offene Vorgänge sind nachstehend benannt.</w:t>
            </w:r>
          </w:p>
        </w:tc>
      </w:tr>
    </w:tbl>
    <w:p>
      <w:pPr>
        <w:pStyle w:val="Heading1"/>
      </w:pPr>
      <w:r>
        <w:t>4. Forderungen und Sicherheiten</w:t>
      </w:r>
    </w:p>
    <w:p>
      <w:r>
        <w:t>Die Forderungstabelle wird nach jedem Prüfungstermin fortgeschrieben. Absonderungsrechte und mutmaßliche Ausfälle werden getrennt dokumentiert; eine bloße Tabellenanmeldung belegt weder den endgültigen Ausfall noch die Berücksichtigung in einer Schlussverteilung.</w:t>
      </w:r>
    </w:p>
    <w:p>
      <w:r>
        <w:t>Der festgestellte Forderungsbestand und die Schlussquote werden erst im Schlussbericht aus dem führenden Schlussverzeichnis übernommen.</w:t>
      </w:r>
    </w:p>
    <w:p>
      <w:pPr>
        <w:pStyle w:val="Heading1"/>
      </w:pPr>
      <w:r>
        <w:t>5. Offene Punkte und nächste Schritte</w:t>
      </w:r>
    </w:p>
    <w:p>
      <w:pPr>
        <w:pStyle w:val="ListBullet"/>
      </w:pPr>
      <w:r>
        <w:t>Steuerzahlung und Bestandskraft belegen</w:t>
      </w:r>
    </w:p>
    <w:p>
      <w:pPr>
        <w:pStyle w:val="ListBullet"/>
      </w:pPr>
      <w:r>
        <w:t>Schlussverzeichnis nach den Nachweisfristen einfrieren</w:t>
      </w:r>
    </w:p>
    <w:p>
      <w:pPr>
        <w:pStyle w:val="ListBullet"/>
      </w:pPr>
      <w:r>
        <w:t>Vergütung, Gerichtskosten und Schlussabwicklung einzeln ansetzen</w:t>
      </w:r>
    </w:p>
    <w:p>
      <w:pPr>
        <w:pStyle w:val="ListBullet"/>
      </w:pPr>
      <w:r>
        <w:t>Ausschussstellungnahme einholen</w:t>
      </w:r>
    </w:p>
    <w:p>
      <w:pPr>
        <w:pStyle w:val="Heading1"/>
      </w:pPr>
      <w:r>
        <w:t>6. Prognose</w:t>
      </w:r>
    </w:p>
    <w:p>
      <w:r>
        <w:t>Ein konkreter Abschlusstermin kann erst genannt werden, wenn die offenen Positionen belegt erledigt sind. Die Sachbearbeitung führt hierfür eine Gate-Liste mit Verantwortlichen, Zieldaten und Nachweisen.</w:t>
      </w:r>
    </w:p>
    <w:p>
      <w:r>
        <w:t>Würzburg, 30. September 2025</w:t>
        <w:br/>
        <w:t>Rechtsanwältin Dr. Kunigunde Haberkorn</w:t>
        <w:br/>
        <w:t>als Insolvenzverwalterin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