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D&amp;O- und Organhaftungsvergleich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fiktiver Aktenbeleg</w:t>
      </w:r>
    </w:p>
    <w:p>
      <w:pPr>
        <w:pStyle w:val="Heading1"/>
      </w:pPr>
      <w:r>
        <w:t>1. Ausgangslage</w:t>
      </w:r>
    </w:p>
    <w:p>
      <w:r>
        <w:t>Die Masse prüfte Zahlungen nach Eintritt der Insolvenzreife und Pflichtverletzungen bei Projektfreigaben. Organ und Versicherer bestreiten Grund und Höhe.</w:t>
      </w:r>
    </w:p>
    <w:p>
      <w:pPr>
        <w:pStyle w:val="Heading1"/>
      </w:pPr>
      <w:r>
        <w:t>2. Vergleichsbetrag</w:t>
      </w:r>
    </w:p>
    <w:p>
      <w:r>
        <w:t>Der Versicherer zahlt 120.000,00 EUR an die Masse. Die Zahlung ist weder Schuldanerkenntnis noch Feststellung einer Insolvenzreife zu einem bestimmten Datum.</w:t>
      </w:r>
    </w:p>
    <w:p>
      <w:pPr>
        <w:pStyle w:val="Heading1"/>
      </w:pPr>
      <w:r>
        <w:t>3. Deckungs- und Abgeltungsumfang</w:t>
      </w:r>
    </w:p>
    <w:p>
      <w:r>
        <w:t>Abgegolten werden ausschließlich die in Anlage A bezeichneten Vorgänge. Steuer-, Straf- und nicht versicherte Drittansprüche sind nicht Gegenstand dieses Auszugs.</w:t>
      </w:r>
    </w:p>
    <w:p>
      <w:pPr>
        <w:pStyle w:val="Heading1"/>
      </w:pPr>
      <w:r>
        <w:t>4. Unterschriften</w:t>
      </w:r>
    </w:p>
    <w:p>
      <w:r>
        <w:t>Würzburg, 12. April 2024</w:t>
        <w:br/>
        <w:t>Dr. Kunigunde Haberkorn, Insolvenzverwalterin</w:t>
        <w:br/>
        <w:br/>
        <w:t>München, 15. April 2024</w:t>
        <w:br/>
        <w:t>Dr. Marlon Heidingsfelder für die fiktive D&amp;O-Versicherung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