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Stellungnahme des Gläubigerausschusses</w:t>
      </w:r>
    </w:p>
    <w:p>
      <w:pPr>
        <w:jc w:val="center"/>
      </w:pPr>
      <w:r>
        <w:rPr>
          <w:rFonts w:ascii="Times New Roman" w:hAnsi="Times New Roman"/>
          <w:b/>
          <w:sz w:val="24"/>
        </w:rPr>
        <w:t>Mainbogen Laborsoftware GmbH – Prüfung der Schlussrechnung</w:t>
      </w:r>
    </w:p>
    <w:p>
      <w:r>
        <w:t>Der Gläubigerausschuss hat die vorgelegte Schlussrechnung, die Kontenübersichten und die Belegstichprobe beraten. Die Mitglieder empfehlen, die dargestellten drei offenen Kontrollpunkte vor gerichtlicher Einreichung zu schließen.</w:t>
      </w:r>
    </w:p>
    <w:p>
      <w:r>
        <w:t>Die Stellungnahme ist keine gerichtliche Prüfung. Sie bestätigt insbesondere nicht die rechtliche Behandlung einer Forderung, wenn deren Nachweis- oder Prozessstatus später geändert wird.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top"/>
            <w:shd w:fill="D9EAF7"/>
          </w:tcPr>
          <w:p>
            <w:r>
              <w:rPr>
                <w:b/>
              </w:rPr>
              <w:t>Kontenabgleich</w:t>
            </w:r>
          </w:p>
        </w:tc>
        <w:tc>
          <w:tcPr>
            <w:tcW w:type="dxa" w:w="4844"/>
            <w:vAlign w:val="top"/>
          </w:tcPr>
          <w:p>
            <w:r>
              <w:t>ohne Differenz</w:t>
            </w:r>
          </w:p>
        </w:tc>
      </w:tr>
      <w:tr>
        <w:tc>
          <w:tcPr>
            <w:tcW w:type="dxa" w:w="4844"/>
            <w:vAlign w:val="top"/>
            <w:shd w:fill="D9EAF7"/>
          </w:tcPr>
          <w:p>
            <w:r>
              <w:rPr>
                <w:b/>
              </w:rPr>
              <w:t>Belegstichprobe</w:t>
            </w:r>
          </w:p>
        </w:tc>
        <w:tc>
          <w:tcPr>
            <w:tcW w:type="dxa" w:w="4844"/>
            <w:vAlign w:val="top"/>
          </w:tcPr>
          <w:p>
            <w:r>
              <w:t>48 Buchungen, davon 48 nachvollzogen</w:t>
            </w:r>
          </w:p>
        </w:tc>
      </w:tr>
      <w:tr>
        <w:tc>
          <w:tcPr>
            <w:tcW w:type="dxa" w:w="4844"/>
            <w:vAlign w:val="top"/>
            <w:shd w:fill="D9EAF7"/>
          </w:tcPr>
          <w:p>
            <w:r>
              <w:rPr>
                <w:b/>
              </w:rPr>
              <w:t>Offene Punkte</w:t>
            </w:r>
          </w:p>
        </w:tc>
        <w:tc>
          <w:tcPr>
            <w:tcW w:type="dxa" w:w="4844"/>
            <w:vAlign w:val="top"/>
          </w:tcPr>
          <w:p>
            <w:r>
              <w:t>Bestandskraft- und Rechtsbehelfsstatus des Steuerbescheids; Vergütungsfestsetzung; Freigabe Schlussverzeichnis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191" w:right="1247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t xml:space="preserve">Testakte insolvenzverwaltung-mainbogen-laborsoftware-wuerzburg | fiktiv | Seite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