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Vergütungsantrag – Arbeitsauszug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Mainbogen Laborsoftware GmbH – keine gerichtliche Festsetzung</w:t>
      </w:r>
    </w:p>
    <w:p>
      <w:r>
        <w:t>Die Insolvenzverwalterin beantragt eine Vergütung und Auslagen einschließlich Umsatzsteuer von 96.577,60 EUR. Berechnungsgrundlage, Zu- und Abschläge sowie bereits festgesetzte Beträge sind in der nicht simulierten vollständigen Antragsanlage darzulegen und vom Gericht eigenständig zu prüfen.</w:t>
      </w:r>
    </w:p>
    <w:p>
      <w:r>
        <w:t>Der Schlussbericht übernimmt den Betrag nur als Rückstellung. Eine spätere Festsetzung löst zwingend einen erneuten Konten- und Quotenabgleich aus.</w:t>
      </w:r>
    </w:p>
    <w:sectPr w:rsidR="00FC693F" w:rsidRPr="0006063C" w:rsidSect="00034616">
      <w:footerReference w:type="default" r:id="rId9"/>
      <w:pgSz w:w="12240" w:h="15840"/>
      <w:pgMar w:top="1191" w:right="1247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Testakte insolvenzverwaltung-mainbogen-laborsoftware-wuerzburg | fiktiv | 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