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Vollzugsnachweis Schlussverteilung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Mainbogen Laborsoftware GmbH – Muster nach Freigabe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top"/>
            <w:shd w:fill="D9EAF7"/>
          </w:tcPr>
          <w:p>
            <w:r>
              <w:rPr>
                <w:b/>
              </w:rPr>
              <w:t>Freigegebenes Schlussverzeichnis</w:t>
            </w:r>
          </w:p>
        </w:tc>
        <w:tc>
          <w:tcPr>
            <w:tcW w:type="dxa" w:w="4844"/>
            <w:vAlign w:val="top"/>
          </w:tcPr>
          <w:p>
            <w:r>
              <w:t>Hash wird nach gerichtlicher Zustimmung eingetragen</w:t>
            </w:r>
          </w:p>
        </w:tc>
      </w:tr>
      <w:tr>
        <w:tc>
          <w:tcPr>
            <w:tcW w:type="dxa" w:w="4844"/>
            <w:vAlign w:val="top"/>
            <w:shd w:fill="D9EAF7"/>
          </w:tcPr>
          <w:p>
            <w:r>
              <w:rPr>
                <w:b/>
              </w:rPr>
              <w:t>Auszahlungsdatei</w:t>
            </w:r>
          </w:p>
        </w:tc>
        <w:tc>
          <w:tcPr>
            <w:tcW w:type="dxa" w:w="4844"/>
            <w:vAlign w:val="top"/>
          </w:tcPr>
          <w:p>
            <w:r>
              <w:t>noch nicht erzeugt</w:t>
            </w:r>
          </w:p>
        </w:tc>
      </w:tr>
      <w:tr>
        <w:tc>
          <w:tcPr>
            <w:tcW w:type="dxa" w:w="4844"/>
            <w:vAlign w:val="top"/>
            <w:shd w:fill="D9EAF7"/>
          </w:tcPr>
          <w:p>
            <w:r>
              <w:rPr>
                <w:b/>
              </w:rPr>
              <w:t>Vier-Augen-Freigabe</w:t>
            </w:r>
          </w:p>
        </w:tc>
        <w:tc>
          <w:tcPr>
            <w:tcW w:type="dxa" w:w="4844"/>
            <w:vAlign w:val="top"/>
          </w:tcPr>
          <w:p>
            <w:r>
              <w:t>noch offen</w:t>
            </w:r>
          </w:p>
        </w:tc>
      </w:tr>
      <w:tr>
        <w:tc>
          <w:tcPr>
            <w:tcW w:type="dxa" w:w="4844"/>
            <w:vAlign w:val="top"/>
            <w:shd w:fill="D9EAF7"/>
          </w:tcPr>
          <w:p>
            <w:r>
              <w:rPr>
                <w:b/>
              </w:rPr>
              <w:t>Bankrückläufer</w:t>
            </w:r>
          </w:p>
        </w:tc>
        <w:tc>
          <w:tcPr>
            <w:tcW w:type="dxa" w:w="4844"/>
            <w:vAlign w:val="top"/>
          </w:tcPr>
          <w:p>
            <w:r>
              <w:t>nach Lauf zu dokumentieren</w:t>
            </w:r>
          </w:p>
        </w:tc>
      </w:tr>
      <w:tr>
        <w:tc>
          <w:tcPr>
            <w:tcW w:type="dxa" w:w="4844"/>
            <w:vAlign w:val="top"/>
            <w:shd w:fill="D9EAF7"/>
          </w:tcPr>
          <w:p>
            <w:r>
              <w:rPr>
                <w:b/>
              </w:rPr>
              <w:t>Restkontenabgleich</w:t>
            </w:r>
          </w:p>
        </w:tc>
        <w:tc>
          <w:tcPr>
            <w:tcW w:type="dxa" w:w="4844"/>
            <w:vAlign w:val="top"/>
          </w:tcPr>
          <w:p>
            <w:r>
              <w:t>nach Lauf zu erstellen</w:t>
            </w:r>
          </w:p>
        </w:tc>
      </w:tr>
    </w:tbl>
    <w:p>
      <w:r>
        <w:t>Dieses Dokument ist bewusst als Arbeitsmuster angelegt. Es darf vor dem tatsächlichen Zahlungs- und Bankabgleich nicht als Vollzugsbestätigung verwendet werden.</w:t>
      </w:r>
    </w:p>
    <w:sectPr w:rsidR="00FC693F" w:rsidRPr="0006063C" w:rsidSect="00034616">
      <w:footerReference w:type="default" r:id="rId9"/>
      <w:pgSz w:w="12240" w:h="15840"/>
      <w:pgMar w:top="1191" w:right="1247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Testakte insolvenzverwaltung-mainbogen-laborsoftware-wuerzburg | fiktiv | Seite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