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Prüfvermerk Nachtragsverteilung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späterer Steuerzufluss</w:t>
      </w:r>
    </w:p>
    <w:p>
      <w:r>
        <w:t>Nach Aufhebung geht eine Mitteilung über eine mögliche Gewerbesteuererstattung von 8.740,00 EUR ein. Zu prüfen sind Massenzugehörigkeit, Bestandskraft, tatsächlicher Zahlungseingang, Kosten der Abwicklung, Empfängerkreis und die gerichtliche Anordnung.</w:t>
      </w:r>
    </w:p>
    <w:p>
      <w:r>
        <w:t>Der bloße Hinweis auf einen denkbaren Zufluss rechtfertigt weder eine Auszahlung noch eine Änderung des abgeschlossenen Schlussverzeichnisses. Das Ergebnis wird in einem gesonderten Nachtragslauf dokumentiert.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