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Offene Punkte, Gates und Freigaben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Abschlussworkflow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G1 Sachbericht</w:t>
            </w:r>
          </w:p>
        </w:tc>
        <w:tc>
          <w:tcPr>
            <w:tcW w:type="dxa" w:w="4844"/>
            <w:vAlign w:val="top"/>
          </w:tcPr>
          <w:p>
            <w:r>
              <w:t>Verfahrenschronologie und offene Vermögenswerte geprüft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G2 Rechnungswerk</w:t>
            </w:r>
          </w:p>
        </w:tc>
        <w:tc>
          <w:tcPr>
            <w:tcW w:type="dxa" w:w="4844"/>
            <w:vAlign w:val="top"/>
          </w:tcPr>
          <w:p>
            <w:r>
              <w:t>Bank, Hauptbuch, Belege und Schlussrechnung abgestimmt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G3 Verteilung</w:t>
            </w:r>
          </w:p>
        </w:tc>
        <w:tc>
          <w:tcPr>
            <w:tcW w:type="dxa" w:w="4844"/>
            <w:vAlign w:val="top"/>
          </w:tcPr>
          <w:p>
            <w:r>
              <w:t>Schlussverzeichnis, Nachweise, Rückbehalte und Quote geprüft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G4 Gericht</w:t>
            </w:r>
          </w:p>
        </w:tc>
        <w:tc>
          <w:tcPr>
            <w:tcW w:type="dxa" w:w="4844"/>
            <w:vAlign w:val="top"/>
          </w:tcPr>
          <w:p>
            <w:r>
              <w:t>Einreichung namentlich freigegeben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G5 Auszahlung</w:t>
            </w:r>
          </w:p>
        </w:tc>
        <w:tc>
          <w:tcPr>
            <w:tcW w:type="dxa" w:w="4844"/>
            <w:vAlign w:val="top"/>
          </w:tcPr>
          <w:p>
            <w:r>
              <w:t>gerichtliche Zustimmung und Zahlungsdatei namentlich freigegeben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G6 Abschluss</w:t>
            </w:r>
          </w:p>
        </w:tc>
        <w:tc>
          <w:tcPr>
            <w:tcW w:type="dxa" w:w="4844"/>
            <w:vAlign w:val="top"/>
          </w:tcPr>
          <w:p>
            <w:r>
              <w:t>Vollzug, Restkonto, Aufhebung und Archiv dokumentiert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