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Schlussbericht und Schlussrechnung</w:t>
      </w:r>
    </w:p>
    <w:p>
      <w:pPr>
        <w:jc w:val="center"/>
      </w:pPr>
      <w:r>
        <w:rPr>
          <w:b/>
        </w:rPr>
        <w:t>Möbelwerk Havelberg GmbH – AG Stendal 7 IN 41/26</w:t>
      </w:r>
    </w:p>
    <w:tbl>
      <w:tblPr>
        <w:tblStyle w:val="TableGrid"/>
        <w:tblW w:type="auto" w:w="0"/>
        <w:jc w:val="center"/>
        <w:tblLook w:firstColumn="1" w:firstRow="1" w:lastColumn="0" w:lastRow="0" w:noHBand="0" w:noVBand="1" w:val="04A0"/>
      </w:tblPr>
      <w:tblGrid>
        <w:gridCol w:w="4872"/>
        <w:gridCol w:w="4872"/>
      </w:tblGrid>
      <w:tr>
        <w:tc>
          <w:tcPr>
            <w:tcW w:type="dxa" w:w="2835"/>
            <w:shd w:fill="D9EAF7"/>
          </w:tcPr>
          <w:p>
            <w:r>
              <w:rPr>
                <w:rFonts w:ascii="Times New Roman" w:hAnsi="Times New Roman"/>
                <w:b/>
                <w:sz w:val="20"/>
              </w:rPr>
              <w:t>Verfahrensangabe</w:t>
            </w:r>
          </w:p>
        </w:tc>
        <w:tc>
          <w:tcPr>
            <w:tcW w:type="dxa" w:w="6236"/>
            <w:shd w:fill="D9EAF7"/>
          </w:tcPr>
          <w:p>
            <w:r>
              <w:rPr>
                <w:rFonts w:ascii="Times New Roman" w:hAnsi="Times New Roman"/>
                <w:b/>
                <w:sz w:val="20"/>
              </w:rPr>
              <w:t>Wert</w:t>
            </w:r>
          </w:p>
        </w:tc>
      </w:tr>
      <w:tr>
        <w:tc>
          <w:tcPr>
            <w:tcW w:type="dxa" w:w="2835"/>
            <w:vAlign w:val="top"/>
          </w:tcPr>
          <w:p>
            <w:r>
              <w:rPr>
                <w:rFonts w:ascii="Times New Roman" w:hAnsi="Times New Roman"/>
                <w:sz w:val="18"/>
              </w:rPr>
              <w:t>Insolvenzgericht</w:t>
            </w:r>
          </w:p>
        </w:tc>
        <w:tc>
          <w:tcPr>
            <w:tcW w:type="dxa" w:w="6236"/>
            <w:vAlign w:val="top"/>
          </w:tcPr>
          <w:p>
            <w:r>
              <w:rPr>
                <w:rFonts w:ascii="Times New Roman" w:hAnsi="Times New Roman"/>
                <w:sz w:val="18"/>
              </w:rPr>
              <w:t>Amtsgericht Stendal</w:t>
            </w:r>
          </w:p>
        </w:tc>
      </w:tr>
      <w:tr>
        <w:tc>
          <w:tcPr>
            <w:tcW w:type="dxa" w:w="2835"/>
            <w:vAlign w:val="top"/>
          </w:tcPr>
          <w:p>
            <w:r>
              <w:rPr>
                <w:rFonts w:ascii="Times New Roman" w:hAnsi="Times New Roman"/>
                <w:sz w:val="18"/>
              </w:rPr>
              <w:t>Aktenzeichen</w:t>
            </w:r>
          </w:p>
        </w:tc>
        <w:tc>
          <w:tcPr>
            <w:tcW w:type="dxa" w:w="6236"/>
            <w:vAlign w:val="top"/>
          </w:tcPr>
          <w:p>
            <w:r>
              <w:rPr>
                <w:rFonts w:ascii="Times New Roman" w:hAnsi="Times New Roman"/>
                <w:sz w:val="18"/>
              </w:rPr>
              <w:t>7 IN 41/26</w:t>
            </w:r>
          </w:p>
        </w:tc>
      </w:tr>
      <w:tr>
        <w:tc>
          <w:tcPr>
            <w:tcW w:type="dxa" w:w="2835"/>
            <w:vAlign w:val="top"/>
          </w:tcPr>
          <w:p>
            <w:r>
              <w:rPr>
                <w:rFonts w:ascii="Times New Roman" w:hAnsi="Times New Roman"/>
                <w:sz w:val="18"/>
              </w:rPr>
              <w:t>Schuldnerin</w:t>
            </w:r>
          </w:p>
        </w:tc>
        <w:tc>
          <w:tcPr>
            <w:tcW w:type="dxa" w:w="6236"/>
            <w:vAlign w:val="top"/>
          </w:tcPr>
          <w:p>
            <w:r>
              <w:rPr>
                <w:rFonts w:ascii="Times New Roman" w:hAnsi="Times New Roman"/>
                <w:sz w:val="18"/>
              </w:rPr>
              <w:t>Möbelwerk Havelberg GmbH</w:t>
            </w:r>
          </w:p>
        </w:tc>
      </w:tr>
      <w:tr>
        <w:tc>
          <w:tcPr>
            <w:tcW w:type="dxa" w:w="2835"/>
            <w:vAlign w:val="top"/>
          </w:tcPr>
          <w:p>
            <w:r>
              <w:rPr>
                <w:rFonts w:ascii="Times New Roman" w:hAnsi="Times New Roman"/>
                <w:sz w:val="18"/>
              </w:rPr>
              <w:t>Insolvenzverwaltung</w:t>
            </w:r>
          </w:p>
        </w:tc>
        <w:tc>
          <w:tcPr>
            <w:tcW w:type="dxa" w:w="6236"/>
            <w:vAlign w:val="top"/>
          </w:tcPr>
          <w:p>
            <w:r>
              <w:rPr>
                <w:rFonts w:ascii="Times New Roman" w:hAnsi="Times New Roman"/>
                <w:sz w:val="18"/>
              </w:rPr>
              <w:t>Dr. Nora Westphal</w:t>
            </w:r>
          </w:p>
        </w:tc>
      </w:tr>
      <w:tr>
        <w:tc>
          <w:tcPr>
            <w:tcW w:type="dxa" w:w="2835"/>
            <w:vAlign w:val="top"/>
          </w:tcPr>
          <w:p>
            <w:r>
              <w:rPr>
                <w:rFonts w:ascii="Times New Roman" w:hAnsi="Times New Roman"/>
                <w:sz w:val="18"/>
              </w:rPr>
              <w:t>Datum</w:t>
            </w:r>
          </w:p>
        </w:tc>
        <w:tc>
          <w:tcPr>
            <w:tcW w:type="dxa" w:w="6236"/>
            <w:vAlign w:val="top"/>
          </w:tcPr>
          <w:p>
            <w:r>
              <w:rPr>
                <w:rFonts w:ascii="Times New Roman" w:hAnsi="Times New Roman"/>
                <w:sz w:val="18"/>
              </w:rPr>
              <w:t>20. Januar 2027</w:t>
            </w:r>
          </w:p>
        </w:tc>
      </w:tr>
      <w:tr>
        <w:tc>
          <w:tcPr>
            <w:tcW w:type="dxa" w:w="2835"/>
            <w:vAlign w:val="top"/>
          </w:tcPr>
          <w:p>
            <w:r>
              <w:rPr>
                <w:rFonts w:ascii="Times New Roman" w:hAnsi="Times New Roman"/>
                <w:sz w:val="18"/>
              </w:rPr>
              <w:t>Gegenstand</w:t>
            </w:r>
          </w:p>
        </w:tc>
        <w:tc>
          <w:tcPr>
            <w:tcW w:type="dxa" w:w="6236"/>
            <w:vAlign w:val="top"/>
          </w:tcPr>
          <w:p>
            <w:r>
              <w:rPr>
                <w:rFonts w:ascii="Times New Roman" w:hAnsi="Times New Roman"/>
                <w:sz w:val="18"/>
              </w:rPr>
              <w:t>Abschlussbericht, Schlussrechnung und Verteilungsvorschlag</w:t>
            </w:r>
          </w:p>
        </w:tc>
      </w:tr>
    </w:tbl>
    <w:p/>
    <w:p>
      <w:pPr>
        <w:pStyle w:val="Heading1"/>
      </w:pPr>
      <w:r>
        <w:t>1. Verfahren und Abschlussstichtag</w:t>
      </w:r>
    </w:p>
    <w:p>
      <w:pPr>
        <w:spacing w:after="120"/>
      </w:pPr>
      <w:r>
        <w:t>Die Furnier Nord GmbH stellte am 4. Mai 2026 Insolvenzantrag. Das Amtsgericht Stendal ordnete am 6. Mai 2026 Sicherungsmaßnahmen an und eröffnete das Verfahren am 12. Juni 2026. Der Betrieb wurde zur Fertigstellung zweier Aufträge kurzzeitig fortgeführt und danach stillgelegt. Dieser Bericht bildet den Stand vom 20. Januar 2027 ab.</w:t>
      </w:r>
    </w:p>
    <w:p>
      <w:pPr>
        <w:pStyle w:val="Heading1"/>
      </w:pPr>
      <w:r>
        <w:t>2. Betriebsfortführung und Personal</w:t>
      </w:r>
    </w:p>
    <w:p>
      <w:pPr>
        <w:spacing w:after="120"/>
      </w:pPr>
      <w:r>
        <w:t>Die zeitlich begrenzte Fortführung diente der Fertigstellung der Aufträge Pflegeheim Elbaue und Hotel Speicherstadt. Erlöse und Fortführungskosten sind in der Rechnungslegung getrennt erfasst. Die Insolvenzgeldvorfinanzierung und ihre Rückführung sind durch die Sammelabrechnung belegt. Offene Arbeitnehmeransprüche wurden im Prüfungstermin behandelt und in der Tabelle nach ihrem festgestellten Stand geführt.</w:t>
      </w:r>
    </w:p>
    <w:p>
      <w:pPr>
        <w:pStyle w:val="Heading1"/>
      </w:pPr>
      <w:r>
        <w:t>3. Verwertung und Drittrechte</w:t>
      </w:r>
    </w:p>
    <w:tbl>
      <w:tblPr>
        <w:tblStyle w:val="TableGrid"/>
        <w:tblW w:type="auto" w:w="0"/>
        <w:jc w:val="center"/>
        <w:tblLook w:firstColumn="1" w:firstRow="1" w:lastColumn="0" w:lastRow="0" w:noHBand="0" w:noVBand="1" w:val="04A0"/>
      </w:tblPr>
      <w:tblGrid>
        <w:gridCol w:w="3248"/>
        <w:gridCol w:w="3248"/>
        <w:gridCol w:w="3248"/>
      </w:tblGrid>
      <w:tr>
        <w:tc>
          <w:tcPr>
            <w:tcW w:type="dxa" w:w="3248"/>
            <w:shd w:fill="D9EAF7"/>
          </w:tcPr>
          <w:p>
            <w:r>
              <w:rPr>
                <w:rFonts w:ascii="Times New Roman" w:hAnsi="Times New Roman"/>
                <w:b/>
                <w:sz w:val="20"/>
              </w:rPr>
              <w:t>Position</w:t>
            </w:r>
          </w:p>
        </w:tc>
        <w:tc>
          <w:tcPr>
            <w:tcW w:type="dxa" w:w="3248"/>
            <w:shd w:fill="D9EAF7"/>
          </w:tcPr>
          <w:p>
            <w:r>
              <w:rPr>
                <w:rFonts w:ascii="Times New Roman" w:hAnsi="Times New Roman"/>
                <w:b/>
                <w:sz w:val="20"/>
              </w:rPr>
              <w:t>Bruttozufluss oder Ergebnis</w:t>
            </w:r>
          </w:p>
        </w:tc>
        <w:tc>
          <w:tcPr>
            <w:tcW w:type="dxa" w:w="3248"/>
            <w:shd w:fill="D9EAF7"/>
          </w:tcPr>
          <w:p>
            <w:r>
              <w:rPr>
                <w:rFonts w:ascii="Times New Roman" w:hAnsi="Times New Roman"/>
                <w:b/>
                <w:sz w:val="20"/>
              </w:rPr>
              <w:t>Behandlung</w:t>
            </w:r>
          </w:p>
        </w:tc>
      </w:tr>
      <w:tr>
        <w:tc>
          <w:tcPr>
            <w:tcW w:type="dxa" w:w="3248"/>
            <w:vAlign w:val="top"/>
          </w:tcPr>
          <w:p>
            <w:r>
              <w:rPr>
                <w:rFonts w:ascii="Times New Roman" w:hAnsi="Times New Roman"/>
                <w:sz w:val="18"/>
              </w:rPr>
              <w:t>Maschinen und Sicherungsgut</w:t>
            </w:r>
          </w:p>
        </w:tc>
        <w:tc>
          <w:tcPr>
            <w:tcW w:type="dxa" w:w="3248"/>
            <w:vAlign w:val="top"/>
          </w:tcPr>
          <w:p>
            <w:r>
              <w:rPr>
                <w:rFonts w:ascii="Times New Roman" w:hAnsi="Times New Roman"/>
                <w:sz w:val="18"/>
              </w:rPr>
              <w:t>343.500,00 EUR</w:t>
            </w:r>
          </w:p>
        </w:tc>
        <w:tc>
          <w:tcPr>
            <w:tcW w:type="dxa" w:w="3248"/>
            <w:vAlign w:val="top"/>
          </w:tcPr>
          <w:p>
            <w:r>
              <w:rPr>
                <w:rFonts w:ascii="Times New Roman" w:hAnsi="Times New Roman"/>
                <w:sz w:val="18"/>
              </w:rPr>
              <w:t>gesondertes Sicherheitenkonto; vollständig an Havelbank ausgekehrt</w:t>
            </w:r>
          </w:p>
        </w:tc>
      </w:tr>
      <w:tr>
        <w:tc>
          <w:tcPr>
            <w:tcW w:type="dxa" w:w="3248"/>
            <w:vAlign w:val="top"/>
          </w:tcPr>
          <w:p>
            <w:r>
              <w:rPr>
                <w:rFonts w:ascii="Times New Roman" w:hAnsi="Times New Roman"/>
                <w:sz w:val="18"/>
              </w:rPr>
              <w:t>Freie Verwertung und Forderungseinzug</w:t>
            </w:r>
          </w:p>
        </w:tc>
        <w:tc>
          <w:tcPr>
            <w:tcW w:type="dxa" w:w="3248"/>
            <w:vAlign w:val="top"/>
          </w:tcPr>
          <w:p>
            <w:r>
              <w:rPr>
                <w:rFonts w:ascii="Times New Roman" w:hAnsi="Times New Roman"/>
                <w:sz w:val="18"/>
              </w:rPr>
              <w:t>428.630,00 EUR</w:t>
            </w:r>
          </w:p>
        </w:tc>
        <w:tc>
          <w:tcPr>
            <w:tcW w:type="dxa" w:w="3248"/>
            <w:vAlign w:val="top"/>
          </w:tcPr>
          <w:p>
            <w:r>
              <w:rPr>
                <w:rFonts w:ascii="Times New Roman" w:hAnsi="Times New Roman"/>
                <w:sz w:val="18"/>
              </w:rPr>
              <w:t>freie Masse</w:t>
            </w:r>
          </w:p>
        </w:tc>
      </w:tr>
      <w:tr>
        <w:tc>
          <w:tcPr>
            <w:tcW w:type="dxa" w:w="3248"/>
            <w:vAlign w:val="top"/>
          </w:tcPr>
          <w:p>
            <w:r>
              <w:rPr>
                <w:rFonts w:ascii="Times New Roman" w:hAnsi="Times New Roman"/>
                <w:sz w:val="18"/>
              </w:rPr>
              <w:t>D&amp;O-Vergleich</w:t>
            </w:r>
          </w:p>
        </w:tc>
        <w:tc>
          <w:tcPr>
            <w:tcW w:type="dxa" w:w="3248"/>
            <w:vAlign w:val="top"/>
          </w:tcPr>
          <w:p>
            <w:r>
              <w:rPr>
                <w:rFonts w:ascii="Times New Roman" w:hAnsi="Times New Roman"/>
                <w:sz w:val="18"/>
              </w:rPr>
              <w:t>115.000,00 EUR</w:t>
            </w:r>
          </w:p>
        </w:tc>
        <w:tc>
          <w:tcPr>
            <w:tcW w:type="dxa" w:w="3248"/>
            <w:vAlign w:val="top"/>
          </w:tcPr>
          <w:p>
            <w:r>
              <w:rPr>
                <w:rFonts w:ascii="Times New Roman" w:hAnsi="Times New Roman"/>
                <w:sz w:val="18"/>
              </w:rPr>
              <w:t>freie Masse; Vergleich erledigt</w:t>
            </w:r>
          </w:p>
        </w:tc>
      </w:tr>
      <w:tr>
        <w:tc>
          <w:tcPr>
            <w:tcW w:type="dxa" w:w="3248"/>
            <w:vAlign w:val="top"/>
          </w:tcPr>
          <w:p>
            <w:r>
              <w:rPr>
                <w:rFonts w:ascii="Times New Roman" w:hAnsi="Times New Roman"/>
                <w:sz w:val="18"/>
              </w:rPr>
              <w:t>Anfechtungsvergleiche</w:t>
            </w:r>
          </w:p>
        </w:tc>
        <w:tc>
          <w:tcPr>
            <w:tcW w:type="dxa" w:w="3248"/>
            <w:vAlign w:val="top"/>
          </w:tcPr>
          <w:p>
            <w:r>
              <w:rPr>
                <w:rFonts w:ascii="Times New Roman" w:hAnsi="Times New Roman"/>
                <w:sz w:val="18"/>
              </w:rPr>
              <w:t>41.000,00 EUR</w:t>
            </w:r>
          </w:p>
        </w:tc>
        <w:tc>
          <w:tcPr>
            <w:tcW w:type="dxa" w:w="3248"/>
            <w:vAlign w:val="top"/>
          </w:tcPr>
          <w:p>
            <w:r>
              <w:rPr>
                <w:rFonts w:ascii="Times New Roman" w:hAnsi="Times New Roman"/>
                <w:sz w:val="18"/>
              </w:rPr>
              <w:t>freie Masse; vollständig bezahlt</w:t>
            </w:r>
          </w:p>
        </w:tc>
      </w:tr>
      <w:tr>
        <w:tc>
          <w:tcPr>
            <w:tcW w:type="dxa" w:w="3248"/>
            <w:vAlign w:val="top"/>
          </w:tcPr>
          <w:p>
            <w:r>
              <w:rPr>
                <w:rFonts w:ascii="Times New Roman" w:hAnsi="Times New Roman"/>
                <w:sz w:val="18"/>
              </w:rPr>
              <w:t>Steuererstattung</w:t>
            </w:r>
          </w:p>
        </w:tc>
        <w:tc>
          <w:tcPr>
            <w:tcW w:type="dxa" w:w="3248"/>
            <w:vAlign w:val="top"/>
          </w:tcPr>
          <w:p>
            <w:r>
              <w:rPr>
                <w:rFonts w:ascii="Times New Roman" w:hAnsi="Times New Roman"/>
                <w:sz w:val="18"/>
              </w:rPr>
              <w:t>14.200,00 EUR</w:t>
            </w:r>
          </w:p>
        </w:tc>
        <w:tc>
          <w:tcPr>
            <w:tcW w:type="dxa" w:w="3248"/>
            <w:vAlign w:val="top"/>
          </w:tcPr>
          <w:p>
            <w:r>
              <w:rPr>
                <w:rFonts w:ascii="Times New Roman" w:hAnsi="Times New Roman"/>
                <w:sz w:val="18"/>
              </w:rPr>
              <w:t>eingegangen und gebucht</w:t>
            </w:r>
          </w:p>
        </w:tc>
      </w:tr>
      <w:tr>
        <w:tc>
          <w:tcPr>
            <w:tcW w:type="dxa" w:w="3248"/>
            <w:vAlign w:val="top"/>
          </w:tcPr>
          <w:p>
            <w:r>
              <w:rPr>
                <w:rFonts w:ascii="Times New Roman" w:hAnsi="Times New Roman"/>
                <w:sz w:val="18"/>
              </w:rPr>
              <w:t>Sonstige freie Zuflüsse</w:t>
            </w:r>
          </w:p>
        </w:tc>
        <w:tc>
          <w:tcPr>
            <w:tcW w:type="dxa" w:w="3248"/>
            <w:vAlign w:val="top"/>
          </w:tcPr>
          <w:p>
            <w:r>
              <w:rPr>
                <w:rFonts w:ascii="Times New Roman" w:hAnsi="Times New Roman"/>
                <w:sz w:val="18"/>
              </w:rPr>
              <w:t>179.000,00 EUR</w:t>
            </w:r>
          </w:p>
        </w:tc>
        <w:tc>
          <w:tcPr>
            <w:tcW w:type="dxa" w:w="3248"/>
            <w:vAlign w:val="top"/>
          </w:tcPr>
          <w:p>
            <w:r>
              <w:rPr>
                <w:rFonts w:ascii="Times New Roman" w:hAnsi="Times New Roman"/>
                <w:sz w:val="18"/>
              </w:rPr>
              <w:t>Fortführung, Kaution und weitere Positionen</w:t>
            </w:r>
          </w:p>
        </w:tc>
      </w:tr>
    </w:tbl>
    <w:p/>
    <w:p>
      <w:pPr>
        <w:spacing w:after="120"/>
      </w:pPr>
      <w:r>
        <w:t>Die gesicherte Forderung der Havelbank eG wurde zum Abschluss mit 480.000,00 EUR festgestellt. Auf sie wurden 343.500,00 EUR aus dem Sicherungsgut ausgekehrt. Der verbleibende Ausfall von 136.500,00 EUR ist in der Forderungsbasis nach § 38 InsO enthalten. Eine Doppelberücksichtigung findet nicht statt.</w:t>
      </w:r>
    </w:p>
    <w:p>
      <w:pPr>
        <w:pStyle w:val="Heading1"/>
      </w:pPr>
      <w:r>
        <w:t>4. Schlussrechnung und Kontenabgleich</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AF7"/>
          </w:tcPr>
          <w:p>
            <w:r>
              <w:rPr>
                <w:rFonts w:ascii="Times New Roman" w:hAnsi="Times New Roman"/>
                <w:b/>
                <w:sz w:val="20"/>
              </w:rPr>
              <w:t>Rechenblock</w:t>
            </w:r>
          </w:p>
        </w:tc>
        <w:tc>
          <w:tcPr>
            <w:tcW w:type="dxa" w:w="2436"/>
            <w:shd w:fill="D9EAF7"/>
          </w:tcPr>
          <w:p>
            <w:r>
              <w:rPr>
                <w:rFonts w:ascii="Times New Roman" w:hAnsi="Times New Roman"/>
                <w:b/>
                <w:sz w:val="20"/>
              </w:rPr>
              <w:t>Einnahmen</w:t>
            </w:r>
          </w:p>
        </w:tc>
        <w:tc>
          <w:tcPr>
            <w:tcW w:type="dxa" w:w="2436"/>
            <w:shd w:fill="D9EAF7"/>
          </w:tcPr>
          <w:p>
            <w:r>
              <w:rPr>
                <w:rFonts w:ascii="Times New Roman" w:hAnsi="Times New Roman"/>
                <w:b/>
                <w:sz w:val="20"/>
              </w:rPr>
              <w:t>Ausgaben</w:t>
            </w:r>
          </w:p>
        </w:tc>
        <w:tc>
          <w:tcPr>
            <w:tcW w:type="dxa" w:w="2436"/>
            <w:shd w:fill="D9EAF7"/>
          </w:tcPr>
          <w:p>
            <w:r>
              <w:rPr>
                <w:rFonts w:ascii="Times New Roman" w:hAnsi="Times New Roman"/>
                <w:b/>
                <w:sz w:val="20"/>
              </w:rPr>
              <w:t>Saldo</w:t>
            </w:r>
          </w:p>
        </w:tc>
      </w:tr>
      <w:tr>
        <w:tc>
          <w:tcPr>
            <w:tcW w:type="dxa" w:w="2436"/>
            <w:vAlign w:val="top"/>
          </w:tcPr>
          <w:p>
            <w:r>
              <w:rPr>
                <w:rFonts w:ascii="Times New Roman" w:hAnsi="Times New Roman"/>
                <w:sz w:val="18"/>
              </w:rPr>
              <w:t>Freie Massebewegungen</w:t>
            </w:r>
          </w:p>
        </w:tc>
        <w:tc>
          <w:tcPr>
            <w:tcW w:type="dxa" w:w="2436"/>
            <w:vAlign w:val="top"/>
          </w:tcPr>
          <w:p>
            <w:r>
              <w:rPr>
                <w:rFonts w:ascii="Times New Roman" w:hAnsi="Times New Roman"/>
                <w:sz w:val="18"/>
              </w:rPr>
              <w:t>777.830,00 EUR</w:t>
            </w:r>
          </w:p>
        </w:tc>
        <w:tc>
          <w:tcPr>
            <w:tcW w:type="dxa" w:w="2436"/>
            <w:vAlign w:val="top"/>
          </w:tcPr>
          <w:p>
            <w:r>
              <w:rPr>
                <w:rFonts w:ascii="Times New Roman" w:hAnsi="Times New Roman"/>
                <w:sz w:val="18"/>
              </w:rPr>
              <w:t>488.040,00 EUR</w:t>
            </w:r>
          </w:p>
        </w:tc>
        <w:tc>
          <w:tcPr>
            <w:tcW w:type="dxa" w:w="2436"/>
            <w:vAlign w:val="top"/>
          </w:tcPr>
          <w:p>
            <w:r>
              <w:rPr>
                <w:rFonts w:ascii="Times New Roman" w:hAnsi="Times New Roman"/>
                <w:sz w:val="18"/>
              </w:rPr>
              <w:t>289.790,00 EUR</w:t>
            </w:r>
          </w:p>
        </w:tc>
      </w:tr>
      <w:tr>
        <w:tc>
          <w:tcPr>
            <w:tcW w:type="dxa" w:w="2436"/>
            <w:vAlign w:val="top"/>
          </w:tcPr>
          <w:p>
            <w:r>
              <w:rPr>
                <w:rFonts w:ascii="Times New Roman" w:hAnsi="Times New Roman"/>
                <w:sz w:val="18"/>
              </w:rPr>
              <w:t>Sicherheitenkonto Havelbank</w:t>
            </w:r>
          </w:p>
        </w:tc>
        <w:tc>
          <w:tcPr>
            <w:tcW w:type="dxa" w:w="2436"/>
            <w:vAlign w:val="top"/>
          </w:tcPr>
          <w:p>
            <w:r>
              <w:rPr>
                <w:rFonts w:ascii="Times New Roman" w:hAnsi="Times New Roman"/>
                <w:sz w:val="18"/>
              </w:rPr>
              <w:t>343.500,00 EUR</w:t>
            </w:r>
          </w:p>
        </w:tc>
        <w:tc>
          <w:tcPr>
            <w:tcW w:type="dxa" w:w="2436"/>
            <w:vAlign w:val="top"/>
          </w:tcPr>
          <w:p>
            <w:r>
              <w:rPr>
                <w:rFonts w:ascii="Times New Roman" w:hAnsi="Times New Roman"/>
                <w:sz w:val="18"/>
              </w:rPr>
              <w:t>343.500,00 EUR</w:t>
            </w:r>
          </w:p>
        </w:tc>
        <w:tc>
          <w:tcPr>
            <w:tcW w:type="dxa" w:w="2436"/>
            <w:vAlign w:val="top"/>
          </w:tcPr>
          <w:p>
            <w:r>
              <w:rPr>
                <w:rFonts w:ascii="Times New Roman" w:hAnsi="Times New Roman"/>
                <w:sz w:val="18"/>
              </w:rPr>
              <w:t>0,00 EUR</w:t>
            </w:r>
          </w:p>
        </w:tc>
      </w:tr>
      <w:tr>
        <w:tc>
          <w:tcPr>
            <w:tcW w:type="dxa" w:w="2436"/>
            <w:vAlign w:val="top"/>
          </w:tcPr>
          <w:p>
            <w:r>
              <w:rPr>
                <w:rFonts w:ascii="Times New Roman" w:hAnsi="Times New Roman"/>
                <w:sz w:val="18"/>
              </w:rPr>
              <w:t>Gesamter Geldfluss</w:t>
            </w:r>
          </w:p>
        </w:tc>
        <w:tc>
          <w:tcPr>
            <w:tcW w:type="dxa" w:w="2436"/>
            <w:vAlign w:val="top"/>
          </w:tcPr>
          <w:p>
            <w:r>
              <w:rPr>
                <w:rFonts w:ascii="Times New Roman" w:hAnsi="Times New Roman"/>
                <w:sz w:val="18"/>
              </w:rPr>
              <w:t>1.121.330,00 EUR</w:t>
            </w:r>
          </w:p>
        </w:tc>
        <w:tc>
          <w:tcPr>
            <w:tcW w:type="dxa" w:w="2436"/>
            <w:vAlign w:val="top"/>
          </w:tcPr>
          <w:p>
            <w:r>
              <w:rPr>
                <w:rFonts w:ascii="Times New Roman" w:hAnsi="Times New Roman"/>
                <w:sz w:val="18"/>
              </w:rPr>
              <w:t>831.540,00 EUR</w:t>
            </w:r>
          </w:p>
        </w:tc>
        <w:tc>
          <w:tcPr>
            <w:tcW w:type="dxa" w:w="2436"/>
            <w:vAlign w:val="top"/>
          </w:tcPr>
          <w:p>
            <w:r>
              <w:rPr>
                <w:rFonts w:ascii="Times New Roman" w:hAnsi="Times New Roman"/>
                <w:sz w:val="18"/>
              </w:rPr>
              <w:t>289.790,00 EUR</w:t>
            </w:r>
          </w:p>
        </w:tc>
      </w:tr>
    </w:tbl>
    <w:p/>
    <w:p>
      <w:pPr>
        <w:spacing w:after="120"/>
      </w:pPr>
      <w:r>
        <w:t>Der rechnerische Endbestand von 289.790,00 EUR stimmt mit dem Massekonto überein. Das Sicherheitenkonto weist nach der Auskehrung 0,00 EUR aus. Interne Umbuchungen wurden neutralisiert. Die frühere Arbeitsfassung, die den Sicherheitenfluss nur im erläuternden Text führte, ist durch diese vollständige Geldflussdarstellung ersetzt.</w:t>
      </w:r>
    </w:p>
    <w:p>
      <w:pPr>
        <w:pStyle w:val="Heading1"/>
      </w:pPr>
      <w:r>
        <w:t>5. Forderungen und Verteilungsbasis</w:t>
      </w:r>
    </w:p>
    <w:p>
      <w:pPr>
        <w:spacing w:after="120"/>
      </w:pPr>
      <w:r>
        <w:t>Die festgestellten Forderungen nach § 38 InsO betragen 862.900,00 EUR. Der vollständig bestrittene Anspruch M. Kordes ist mangels fristgerechten Nachweises nicht in die Verteilungsbasis aufgenommen. Die nachrangige Forderung Tim Brauer über 120.000,00 EUR erhält keine Zahlung.</w:t>
      </w:r>
    </w:p>
    <w:tbl>
      <w:tblPr>
        <w:tblStyle w:val="TableGrid"/>
        <w:tblW w:type="auto" w:w="0"/>
        <w:jc w:val="center"/>
        <w:tblLook w:firstColumn="1" w:firstRow="1" w:lastColumn="0" w:lastRow="0" w:noHBand="0" w:noVBand="1" w:val="04A0"/>
      </w:tblPr>
      <w:tblGrid>
        <w:gridCol w:w="3248"/>
        <w:gridCol w:w="3248"/>
        <w:gridCol w:w="3248"/>
      </w:tblGrid>
      <w:tr>
        <w:tc>
          <w:tcPr>
            <w:tcW w:type="dxa" w:w="3248"/>
            <w:shd w:fill="D9EAF7"/>
          </w:tcPr>
          <w:p>
            <w:r>
              <w:rPr>
                <w:rFonts w:ascii="Times New Roman" w:hAnsi="Times New Roman"/>
                <w:b/>
                <w:sz w:val="20"/>
              </w:rPr>
              <w:t>Gläubiger</w:t>
            </w:r>
          </w:p>
        </w:tc>
        <w:tc>
          <w:tcPr>
            <w:tcW w:type="dxa" w:w="3248"/>
            <w:shd w:fill="D9EAF7"/>
          </w:tcPr>
          <w:p>
            <w:r>
              <w:rPr>
                <w:rFonts w:ascii="Times New Roman" w:hAnsi="Times New Roman"/>
                <w:b/>
                <w:sz w:val="20"/>
              </w:rPr>
              <w:t>Verteilungsforderung</w:t>
            </w:r>
          </w:p>
        </w:tc>
        <w:tc>
          <w:tcPr>
            <w:tcW w:type="dxa" w:w="3248"/>
            <w:shd w:fill="D9EAF7"/>
          </w:tcPr>
          <w:p>
            <w:r>
              <w:rPr>
                <w:rFonts w:ascii="Times New Roman" w:hAnsi="Times New Roman"/>
                <w:b/>
                <w:sz w:val="20"/>
              </w:rPr>
              <w:t>Auszahlung</w:t>
            </w:r>
          </w:p>
        </w:tc>
      </w:tr>
      <w:tr>
        <w:tc>
          <w:tcPr>
            <w:tcW w:type="dxa" w:w="3248"/>
            <w:vAlign w:val="top"/>
          </w:tcPr>
          <w:p>
            <w:r>
              <w:rPr>
                <w:rFonts w:ascii="Times New Roman" w:hAnsi="Times New Roman"/>
                <w:sz w:val="18"/>
              </w:rPr>
              <w:t>Furnier Nord GmbH</w:t>
            </w:r>
          </w:p>
        </w:tc>
        <w:tc>
          <w:tcPr>
            <w:tcW w:type="dxa" w:w="3248"/>
            <w:vAlign w:val="top"/>
          </w:tcPr>
          <w:p>
            <w:r>
              <w:rPr>
                <w:rFonts w:ascii="Times New Roman" w:hAnsi="Times New Roman"/>
                <w:sz w:val="18"/>
              </w:rPr>
              <w:t>186.420,00 EUR</w:t>
            </w:r>
          </w:p>
        </w:tc>
        <w:tc>
          <w:tcPr>
            <w:tcW w:type="dxa" w:w="3248"/>
            <w:vAlign w:val="top"/>
          </w:tcPr>
          <w:p>
            <w:r>
              <w:rPr>
                <w:rFonts w:ascii="Times New Roman" w:hAnsi="Times New Roman"/>
                <w:sz w:val="18"/>
              </w:rPr>
              <w:t>62.605,92 EUR</w:t>
            </w:r>
          </w:p>
        </w:tc>
      </w:tr>
      <w:tr>
        <w:tc>
          <w:tcPr>
            <w:tcW w:type="dxa" w:w="3248"/>
            <w:vAlign w:val="top"/>
          </w:tcPr>
          <w:p>
            <w:r>
              <w:rPr>
                <w:rFonts w:ascii="Times New Roman" w:hAnsi="Times New Roman"/>
                <w:sz w:val="18"/>
              </w:rPr>
              <w:t>Havelbank eG – Ausfall</w:t>
            </w:r>
          </w:p>
        </w:tc>
        <w:tc>
          <w:tcPr>
            <w:tcW w:type="dxa" w:w="3248"/>
            <w:vAlign w:val="top"/>
          </w:tcPr>
          <w:p>
            <w:r>
              <w:rPr>
                <w:rFonts w:ascii="Times New Roman" w:hAnsi="Times New Roman"/>
                <w:sz w:val="18"/>
              </w:rPr>
              <w:t>136.500,00 EUR</w:t>
            </w:r>
          </w:p>
        </w:tc>
        <w:tc>
          <w:tcPr>
            <w:tcW w:type="dxa" w:w="3248"/>
            <w:vAlign w:val="top"/>
          </w:tcPr>
          <w:p>
            <w:r>
              <w:rPr>
                <w:rFonts w:ascii="Times New Roman" w:hAnsi="Times New Roman"/>
                <w:sz w:val="18"/>
              </w:rPr>
              <w:t>45.841,16 EUR</w:t>
            </w:r>
          </w:p>
        </w:tc>
      </w:tr>
      <w:tr>
        <w:tc>
          <w:tcPr>
            <w:tcW w:type="dxa" w:w="3248"/>
            <w:vAlign w:val="top"/>
          </w:tcPr>
          <w:p>
            <w:r>
              <w:rPr>
                <w:rFonts w:ascii="Times New Roman" w:hAnsi="Times New Roman"/>
                <w:sz w:val="18"/>
              </w:rPr>
              <w:t>Finanzamt Stendal</w:t>
            </w:r>
          </w:p>
        </w:tc>
        <w:tc>
          <w:tcPr>
            <w:tcW w:type="dxa" w:w="3248"/>
            <w:vAlign w:val="top"/>
          </w:tcPr>
          <w:p>
            <w:r>
              <w:rPr>
                <w:rFonts w:ascii="Times New Roman" w:hAnsi="Times New Roman"/>
                <w:sz w:val="18"/>
              </w:rPr>
              <w:t>92.340,00 EUR</w:t>
            </w:r>
          </w:p>
        </w:tc>
        <w:tc>
          <w:tcPr>
            <w:tcW w:type="dxa" w:w="3248"/>
            <w:vAlign w:val="top"/>
          </w:tcPr>
          <w:p>
            <w:r>
              <w:rPr>
                <w:rFonts w:ascii="Times New Roman" w:hAnsi="Times New Roman"/>
                <w:sz w:val="18"/>
              </w:rPr>
              <w:t>31.010,79 EUR</w:t>
            </w:r>
          </w:p>
        </w:tc>
      </w:tr>
      <w:tr>
        <w:tc>
          <w:tcPr>
            <w:tcW w:type="dxa" w:w="3248"/>
            <w:vAlign w:val="top"/>
          </w:tcPr>
          <w:p>
            <w:r>
              <w:rPr>
                <w:rFonts w:ascii="Times New Roman" w:hAnsi="Times New Roman"/>
                <w:sz w:val="18"/>
              </w:rPr>
              <w:t>AOK Sachsen-Anhalt</w:t>
            </w:r>
          </w:p>
        </w:tc>
        <w:tc>
          <w:tcPr>
            <w:tcW w:type="dxa" w:w="3248"/>
            <w:vAlign w:val="top"/>
          </w:tcPr>
          <w:p>
            <w:r>
              <w:rPr>
                <w:rFonts w:ascii="Times New Roman" w:hAnsi="Times New Roman"/>
                <w:sz w:val="18"/>
              </w:rPr>
              <w:t>61.200,00 EUR</w:t>
            </w:r>
          </w:p>
        </w:tc>
        <w:tc>
          <w:tcPr>
            <w:tcW w:type="dxa" w:w="3248"/>
            <w:vAlign w:val="top"/>
          </w:tcPr>
          <w:p>
            <w:r>
              <w:rPr>
                <w:rFonts w:ascii="Times New Roman" w:hAnsi="Times New Roman"/>
                <w:sz w:val="18"/>
              </w:rPr>
              <w:t>20.552,96 EUR</w:t>
            </w:r>
          </w:p>
        </w:tc>
      </w:tr>
      <w:tr>
        <w:tc>
          <w:tcPr>
            <w:tcW w:type="dxa" w:w="3248"/>
            <w:vAlign w:val="top"/>
          </w:tcPr>
          <w:p>
            <w:r>
              <w:rPr>
                <w:rFonts w:ascii="Times New Roman" w:hAnsi="Times New Roman"/>
                <w:sz w:val="18"/>
              </w:rPr>
              <w:t>Prignitz Forst KG</w:t>
            </w:r>
          </w:p>
        </w:tc>
        <w:tc>
          <w:tcPr>
            <w:tcW w:type="dxa" w:w="3248"/>
            <w:vAlign w:val="top"/>
          </w:tcPr>
          <w:p>
            <w:r>
              <w:rPr>
                <w:rFonts w:ascii="Times New Roman" w:hAnsi="Times New Roman"/>
                <w:sz w:val="18"/>
              </w:rPr>
              <w:t>43.700,00 EUR</w:t>
            </w:r>
          </w:p>
        </w:tc>
        <w:tc>
          <w:tcPr>
            <w:tcW w:type="dxa" w:w="3248"/>
            <w:vAlign w:val="top"/>
          </w:tcPr>
          <w:p>
            <w:r>
              <w:rPr>
                <w:rFonts w:ascii="Times New Roman" w:hAnsi="Times New Roman"/>
                <w:sz w:val="18"/>
              </w:rPr>
              <w:t>14.675,89 EUR</w:t>
            </w:r>
          </w:p>
        </w:tc>
      </w:tr>
      <w:tr>
        <w:tc>
          <w:tcPr>
            <w:tcW w:type="dxa" w:w="3248"/>
            <w:vAlign w:val="top"/>
          </w:tcPr>
          <w:p>
            <w:r>
              <w:rPr>
                <w:rFonts w:ascii="Times New Roman" w:hAnsi="Times New Roman"/>
                <w:sz w:val="18"/>
              </w:rPr>
              <w:t>Holzbauer GmbH &amp; Co. KG</w:t>
            </w:r>
          </w:p>
        </w:tc>
        <w:tc>
          <w:tcPr>
            <w:tcW w:type="dxa" w:w="3248"/>
            <w:vAlign w:val="top"/>
          </w:tcPr>
          <w:p>
            <w:r>
              <w:rPr>
                <w:rFonts w:ascii="Times New Roman" w:hAnsi="Times New Roman"/>
                <w:sz w:val="18"/>
              </w:rPr>
              <w:t>28.100,00 EUR</w:t>
            </w:r>
          </w:p>
        </w:tc>
        <w:tc>
          <w:tcPr>
            <w:tcW w:type="dxa" w:w="3248"/>
            <w:vAlign w:val="top"/>
          </w:tcPr>
          <w:p>
            <w:r>
              <w:rPr>
                <w:rFonts w:ascii="Times New Roman" w:hAnsi="Times New Roman"/>
                <w:sz w:val="18"/>
              </w:rPr>
              <w:t>9.436,90 EUR</w:t>
            </w:r>
          </w:p>
        </w:tc>
      </w:tr>
      <w:tr>
        <w:tc>
          <w:tcPr>
            <w:tcW w:type="dxa" w:w="3248"/>
            <w:vAlign w:val="top"/>
          </w:tcPr>
          <w:p>
            <w:r>
              <w:rPr>
                <w:rFonts w:ascii="Times New Roman" w:hAnsi="Times New Roman"/>
                <w:sz w:val="18"/>
              </w:rPr>
              <w:t>Beschlagwerk Elbe AG</w:t>
            </w:r>
          </w:p>
        </w:tc>
        <w:tc>
          <w:tcPr>
            <w:tcW w:type="dxa" w:w="3248"/>
            <w:vAlign w:val="top"/>
          </w:tcPr>
          <w:p>
            <w:r>
              <w:rPr>
                <w:rFonts w:ascii="Times New Roman" w:hAnsi="Times New Roman"/>
                <w:sz w:val="18"/>
              </w:rPr>
              <w:t>19.440,00 EUR</w:t>
            </w:r>
          </w:p>
        </w:tc>
        <w:tc>
          <w:tcPr>
            <w:tcW w:type="dxa" w:w="3248"/>
            <w:vAlign w:val="top"/>
          </w:tcPr>
          <w:p>
            <w:r>
              <w:rPr>
                <w:rFonts w:ascii="Times New Roman" w:hAnsi="Times New Roman"/>
                <w:sz w:val="18"/>
              </w:rPr>
              <w:t>6.528,58 EUR</w:t>
            </w:r>
          </w:p>
        </w:tc>
      </w:tr>
      <w:tr>
        <w:tc>
          <w:tcPr>
            <w:tcW w:type="dxa" w:w="3248"/>
            <w:vAlign w:val="top"/>
          </w:tcPr>
          <w:p>
            <w:r>
              <w:rPr>
                <w:rFonts w:ascii="Times New Roman" w:hAnsi="Times New Roman"/>
                <w:sz w:val="18"/>
              </w:rPr>
              <w:t>Havelstrom GbR</w:t>
            </w:r>
          </w:p>
        </w:tc>
        <w:tc>
          <w:tcPr>
            <w:tcW w:type="dxa" w:w="3248"/>
            <w:vAlign w:val="top"/>
          </w:tcPr>
          <w:p>
            <w:r>
              <w:rPr>
                <w:rFonts w:ascii="Times New Roman" w:hAnsi="Times New Roman"/>
                <w:sz w:val="18"/>
              </w:rPr>
              <w:t>48.000,00 EUR</w:t>
            </w:r>
          </w:p>
        </w:tc>
        <w:tc>
          <w:tcPr>
            <w:tcW w:type="dxa" w:w="3248"/>
            <w:vAlign w:val="top"/>
          </w:tcPr>
          <w:p>
            <w:r>
              <w:rPr>
                <w:rFonts w:ascii="Times New Roman" w:hAnsi="Times New Roman"/>
                <w:sz w:val="18"/>
              </w:rPr>
              <w:t>16.119,97 EUR</w:t>
            </w:r>
          </w:p>
        </w:tc>
      </w:tr>
      <w:tr>
        <w:tc>
          <w:tcPr>
            <w:tcW w:type="dxa" w:w="3248"/>
            <w:vAlign w:val="top"/>
          </w:tcPr>
          <w:p>
            <w:r>
              <w:rPr>
                <w:rFonts w:ascii="Times New Roman" w:hAnsi="Times New Roman"/>
                <w:sz w:val="18"/>
              </w:rPr>
              <w:t>Arbeitnehmerforderungen</w:t>
            </w:r>
          </w:p>
        </w:tc>
        <w:tc>
          <w:tcPr>
            <w:tcW w:type="dxa" w:w="3248"/>
            <w:vAlign w:val="top"/>
          </w:tcPr>
          <w:p>
            <w:r>
              <w:rPr>
                <w:rFonts w:ascii="Times New Roman" w:hAnsi="Times New Roman"/>
                <w:sz w:val="18"/>
              </w:rPr>
              <w:t>236.000,00 EUR</w:t>
            </w:r>
          </w:p>
        </w:tc>
        <w:tc>
          <w:tcPr>
            <w:tcW w:type="dxa" w:w="3248"/>
            <w:vAlign w:val="top"/>
          </w:tcPr>
          <w:p>
            <w:r>
              <w:rPr>
                <w:rFonts w:ascii="Times New Roman" w:hAnsi="Times New Roman"/>
                <w:sz w:val="18"/>
              </w:rPr>
              <w:t>79.256,51 EUR</w:t>
            </w:r>
          </w:p>
        </w:tc>
      </w:tr>
      <w:tr>
        <w:tc>
          <w:tcPr>
            <w:tcW w:type="dxa" w:w="3248"/>
            <w:vAlign w:val="top"/>
          </w:tcPr>
          <w:p>
            <w:r>
              <w:rPr>
                <w:rFonts w:ascii="Times New Roman" w:hAnsi="Times New Roman"/>
                <w:sz w:val="18"/>
              </w:rPr>
              <w:t>Würtl-Leasing GmbH</w:t>
            </w:r>
          </w:p>
        </w:tc>
        <w:tc>
          <w:tcPr>
            <w:tcW w:type="dxa" w:w="3248"/>
            <w:vAlign w:val="top"/>
          </w:tcPr>
          <w:p>
            <w:r>
              <w:rPr>
                <w:rFonts w:ascii="Times New Roman" w:hAnsi="Times New Roman"/>
                <w:sz w:val="18"/>
              </w:rPr>
              <w:t>11.200,00 EUR</w:t>
            </w:r>
          </w:p>
        </w:tc>
        <w:tc>
          <w:tcPr>
            <w:tcW w:type="dxa" w:w="3248"/>
            <w:vAlign w:val="top"/>
          </w:tcPr>
          <w:p>
            <w:r>
              <w:rPr>
                <w:rFonts w:ascii="Times New Roman" w:hAnsi="Times New Roman"/>
                <w:sz w:val="18"/>
              </w:rPr>
              <w:t>3.761,32 EUR</w:t>
            </w:r>
          </w:p>
        </w:tc>
      </w:tr>
      <w:tr>
        <w:tc>
          <w:tcPr>
            <w:tcW w:type="dxa" w:w="3248"/>
            <w:vAlign w:val="top"/>
          </w:tcPr>
          <w:p>
            <w:r>
              <w:rPr>
                <w:rFonts w:ascii="Times New Roman" w:hAnsi="Times New Roman"/>
                <w:sz w:val="18"/>
              </w:rPr>
              <w:t>Summe</w:t>
            </w:r>
          </w:p>
        </w:tc>
        <w:tc>
          <w:tcPr>
            <w:tcW w:type="dxa" w:w="3248"/>
            <w:vAlign w:val="top"/>
          </w:tcPr>
          <w:p>
            <w:r>
              <w:rPr>
                <w:rFonts w:ascii="Times New Roman" w:hAnsi="Times New Roman"/>
                <w:sz w:val="18"/>
              </w:rPr>
              <w:t>862.900,00 EUR</w:t>
            </w:r>
          </w:p>
        </w:tc>
        <w:tc>
          <w:tcPr>
            <w:tcW w:type="dxa" w:w="3248"/>
            <w:vAlign w:val="top"/>
          </w:tcPr>
          <w:p>
            <w:r>
              <w:rPr>
                <w:rFonts w:ascii="Times New Roman" w:hAnsi="Times New Roman"/>
                <w:sz w:val="18"/>
              </w:rPr>
              <w:t>289.790,00 EUR</w:t>
            </w:r>
          </w:p>
        </w:tc>
      </w:tr>
    </w:tbl>
    <w:p/>
    <w:p>
      <w:pPr>
        <w:spacing w:after="120"/>
      </w:pPr>
      <w:r>
        <w:t>Die ungerundete Quote beträgt 33,583266 Prozent. Die Auszahlungen werden auf Cent abgerundet; sieben Restcent werden nach den größten Bruchteilsresten zugeteilt. Eine pauschale Reserve von 130.012,68 EUR wird nicht gebildet, weil dafür weder eine offene Masseverbindlichkeit noch ein anderer konkreter Rechtsgrund belegt ist.</w:t>
      </w:r>
    </w:p>
    <w:p>
      <w:pPr>
        <w:pStyle w:val="Heading1"/>
      </w:pPr>
      <w:r>
        <w:t>6. Offene Restvorgänge und Nachtragsverteilung</w:t>
      </w:r>
    </w:p>
    <w:p>
      <w:pPr>
        <w:spacing w:after="120"/>
      </w:pPr>
      <w:r>
        <w:t>Die Veranlagungen sind nach dem Aktenstand abgeschlossen. Ein lediglich möglicher künftiger Steuer- oder Versicherungszufluss wird nicht als vorhandene Masse gebucht und rechtfertigt keinen pauschalen Rückbehalt. Sollte nach der Aufhebung ein weiterer Massegegenstand ermittelt oder ein bereits ausgekehrter Betrag zurückfließen, werden Massezugehörigkeit und die Voraussetzungen der §§ 203 bis 205 InsO gesondert geprüft.</w:t>
      </w:r>
    </w:p>
    <w:p>
      <w:pPr>
        <w:pStyle w:val="Heading1"/>
      </w:pPr>
      <w:r>
        <w:t>7. Abschlussreife</w:t>
      </w:r>
    </w:p>
    <w:p>
      <w:pPr>
        <w:spacing w:after="120"/>
      </w:pPr>
      <w:r>
        <w:t>Die bekannten verwertbaren Massegegenstände sind realisiert. Die Konten stimmen mit der Schlussrechnung überein. Die Forderungsbasis ist mit der Tabelle abgeglichen. Die Abschlussreife wird daher bejaht. Der Bundesgerichtshof hat mit Beschluss vom 11. November 2021, IX ZB 19/20, Randnummern 12 und 14 bis 21, für die dortige Vergütungsfrage hervorgehoben, dass eine bloße Schlussrechnung oder ein Schlusstermin bei fortdauernder Verwertung keinen Abschluss ersetzt. Hier sind nach dem belegten Aktenstand keine weiteren Verwertungsschritte offen; die Entscheidung wird nicht als allgemeine Freigabefiktion verwendet.</w:t>
      </w:r>
    </w:p>
    <w:p>
      <w:pPr>
        <w:pStyle w:val="Heading1"/>
      </w:pPr>
      <w:r>
        <w:t>8. Anträge und Freigabegrenze</w:t>
      </w:r>
    </w:p>
    <w:p>
      <w:pPr>
        <w:spacing w:after="120"/>
      </w:pPr>
      <w:r>
        <w:t>Es wird beantragt, die Schlussrechnung zu prüfen, der Schlussverteilung nach § 196 Absatz 2 InsO zuzustimmen und den Schlusstermin nach § 197 InsO zu bestimmen. Der Bericht bestätigt keine noch nicht ausgeführte Zahlung. Einreichung, Zahlung und Schlussmitteilung bedürfen jeweils einer gesondert dokumentierten menschlichen Freigabe.</w:t>
      </w:r>
    </w:p>
    <w:p>
      <w:pPr>
        <w:spacing w:after="120"/>
      </w:pPr>
      <w:r>
        <w:t>Dr. Nora Westphal</w:t>
        <w:br/>
        <w:t>Rechtsanwältin und Insolvenzverwalterin</w:t>
      </w:r>
    </w:p>
    <w:sectPr w:rsidR="00FC693F" w:rsidRPr="0006063C" w:rsidSect="00034616">
      <w:pgSz w:w="12240" w:h="15840"/>
      <w:pgMar w:top="1191" w:right="1191"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Schlussbericht und Schlussrechnung</dc:title>
  <dc:subject>Insolvenzverwaltung</dc:subject>
  <dc:creator>Synthetische Testakte</dc:creator>
  <cp:keywords/>
  <dc:description>generated by python-docx</dc:description>
  <cp:lastModifiedBy/>
  <cp:revision>1</cp:revision>
  <dcterms:created xsi:type="dcterms:W3CDTF">2013-12-23T23:15:00Z</dcterms:created>
  <dcterms:modified xsi:type="dcterms:W3CDTF">2013-12-23T23:15:00Z</dcterms:modified>
  <cp:category/>
</cp:coreProperties>
</file>